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30.05.2018 N 294-п</w:t>
              <w:br/>
              <w:t xml:space="preserve">(ред. от 10.05.2023)</w:t>
              <w:br/>
              <w:t xml:space="preserve">"Об утверждении Порядка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30 мая 2018 г. N 294-п</w:t>
      </w:r>
    </w:p>
    <w:p>
      <w:pPr>
        <w:pStyle w:val="2"/>
        <w:jc w:val="center"/>
      </w:pPr>
      <w:r>
        <w:rPr>
          <w:sz w:val="20"/>
        </w:rPr>
      </w:r>
    </w:p>
    <w:p>
      <w:pPr>
        <w:pStyle w:val="2"/>
        <w:jc w:val="center"/>
      </w:pPr>
      <w:r>
        <w:rPr>
          <w:sz w:val="20"/>
        </w:rPr>
        <w:t xml:space="preserve">ОБ УТВЕРЖДЕНИИ ПОРЯДКА ПРЕДОСТАВЛЕНИЯ И РАСХОДОВАНИЯ</w:t>
      </w:r>
    </w:p>
    <w:p>
      <w:pPr>
        <w:pStyle w:val="2"/>
        <w:jc w:val="center"/>
      </w:pPr>
      <w:r>
        <w:rPr>
          <w:sz w:val="20"/>
        </w:rPr>
        <w:t xml:space="preserve">СУБВЕНЦИИ ИЗ БЮДЖЕТА ПЕРМСКОГО КРАЯ БЮДЖЕТАМ МУНИЦИПАЛЬНЫХ</w:t>
      </w:r>
    </w:p>
    <w:p>
      <w:pPr>
        <w:pStyle w:val="2"/>
        <w:jc w:val="center"/>
      </w:pPr>
      <w:r>
        <w:rPr>
          <w:sz w:val="20"/>
        </w:rPr>
        <w:t xml:space="preserve">ОБРАЗОВАНИЙ ПЕРМСКОГО КРАЯ НА ОБЕСПЕЧЕНИЕ ГОСУДАРСТВЕННЫХ</w:t>
      </w:r>
    </w:p>
    <w:p>
      <w:pPr>
        <w:pStyle w:val="2"/>
        <w:jc w:val="center"/>
      </w:pPr>
      <w:r>
        <w:rPr>
          <w:sz w:val="20"/>
        </w:rPr>
        <w:t xml:space="preserve">ГАРАНТИЙ РЕАЛИЗАЦИИ ПРАВ НА ПОЛУЧЕНИЕ ОБЩЕДОСТУПНОГО</w:t>
      </w:r>
    </w:p>
    <w:p>
      <w:pPr>
        <w:pStyle w:val="2"/>
        <w:jc w:val="center"/>
      </w:pPr>
      <w:r>
        <w:rPr>
          <w:sz w:val="20"/>
        </w:rPr>
        <w:t xml:space="preserve">И БЕСПЛАТНОГО ДОШКОЛЬНОГО, НАЧАЛЬНОГО ОБЩЕГО, ОСНОВНОГО</w:t>
      </w:r>
    </w:p>
    <w:p>
      <w:pPr>
        <w:pStyle w:val="2"/>
        <w:jc w:val="center"/>
      </w:pPr>
      <w:r>
        <w:rPr>
          <w:sz w:val="20"/>
        </w:rPr>
        <w:t xml:space="preserve">ОБЩЕГО, СРЕДНЕГО ОБЩЕГО ОБРАЗОВАНИЯ, А ТАКЖЕ ДОПОЛНИТЕЛЬНОГО</w:t>
      </w:r>
    </w:p>
    <w:p>
      <w:pPr>
        <w:pStyle w:val="2"/>
        <w:jc w:val="center"/>
      </w:pPr>
      <w:r>
        <w:rPr>
          <w:sz w:val="20"/>
        </w:rPr>
        <w:t xml:space="preserve">ОБРАЗОВАНИЯ В МУНИЦИПАЛЬНЫХ ОБЩЕОБРАЗОВАТЕЛЬНЫХ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19.10.2018 </w:t>
            </w:r>
            <w:hyperlink w:history="0" r:id="rId7" w:tooltip="Постановление Правительства Пермского края от 19.10.2018 N 613-п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утвержденный Постано {КонсультантПлюс}">
              <w:r>
                <w:rPr>
                  <w:sz w:val="20"/>
                  <w:color w:val="0000ff"/>
                </w:rPr>
                <w:t xml:space="preserve">N 613-п</w:t>
              </w:r>
            </w:hyperlink>
            <w:r>
              <w:rPr>
                <w:sz w:val="20"/>
                <w:color w:val="392c69"/>
              </w:rPr>
              <w:t xml:space="preserve">,</w:t>
            </w:r>
          </w:p>
          <w:p>
            <w:pPr>
              <w:pStyle w:val="0"/>
              <w:jc w:val="center"/>
            </w:pPr>
            <w:r>
              <w:rPr>
                <w:sz w:val="20"/>
                <w:color w:val="392c69"/>
              </w:rPr>
              <w:t xml:space="preserve">от 31.10.2018 </w:t>
            </w:r>
            <w:hyperlink w:history="0" r:id="rId8" w:tooltip="Постановление Правительства Пермского края от 31.10.2018 N 639-п (ред. от 09.04.2020)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КонсультантПлюс}">
              <w:r>
                <w:rPr>
                  <w:sz w:val="20"/>
                  <w:color w:val="0000ff"/>
                </w:rPr>
                <w:t xml:space="preserve">N 639-п</w:t>
              </w:r>
            </w:hyperlink>
            <w:r>
              <w:rPr>
                <w:sz w:val="20"/>
                <w:color w:val="392c69"/>
              </w:rPr>
              <w:t xml:space="preserve">, от 02.11.2018 </w:t>
            </w:r>
            <w:hyperlink w:history="0" r:id="rId9" w:tooltip="Постановление Правительства Пермского края от 02.11.2018 N 651-п &quot;О внесении изменений в Постановление Правительства Пермского края от 30 мая 2018 г. N 294-п &quot;Об утверждении Порядка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 {КонсультантПлюс}">
              <w:r>
                <w:rPr>
                  <w:sz w:val="20"/>
                  <w:color w:val="0000ff"/>
                </w:rPr>
                <w:t xml:space="preserve">N 651-п</w:t>
              </w:r>
            </w:hyperlink>
            <w:r>
              <w:rPr>
                <w:sz w:val="20"/>
                <w:color w:val="392c69"/>
              </w:rPr>
              <w:t xml:space="preserve">, от 25.12.2018 </w:t>
            </w:r>
            <w:hyperlink w:history="0" r:id="rId10" w:tooltip="Постановление Правительства Пермского края от 25.12.2018 N 862-п (ред. от 08.02.2023) &quot;О внесении изменений в отдельные постановления Правительства Пермского края в сфере образования и науки&quot; {КонсультантПлюс}">
              <w:r>
                <w:rPr>
                  <w:sz w:val="20"/>
                  <w:color w:val="0000ff"/>
                </w:rPr>
                <w:t xml:space="preserve">N 862-п</w:t>
              </w:r>
            </w:hyperlink>
            <w:r>
              <w:rPr>
                <w:sz w:val="20"/>
                <w:color w:val="392c69"/>
              </w:rPr>
              <w:t xml:space="preserve">,</w:t>
            </w:r>
          </w:p>
          <w:p>
            <w:pPr>
              <w:pStyle w:val="0"/>
              <w:jc w:val="center"/>
            </w:pPr>
            <w:r>
              <w:rPr>
                <w:sz w:val="20"/>
                <w:color w:val="392c69"/>
              </w:rPr>
              <w:t xml:space="preserve">от 10.07.2019 </w:t>
            </w:r>
            <w:hyperlink w:history="0" r:id="rId11" w:tooltip="Постановление Правительства Пермского края от 10.07.2019 N 465-п &quot;О внесении изменений в отдельные постановления Правительства Пермского края и признании утратившими силу отдельных постановлений Правительства Пермского края в сфере образования&quot; {КонсультантПлюс}">
              <w:r>
                <w:rPr>
                  <w:sz w:val="20"/>
                  <w:color w:val="0000ff"/>
                </w:rPr>
                <w:t xml:space="preserve">N 465-п</w:t>
              </w:r>
            </w:hyperlink>
            <w:r>
              <w:rPr>
                <w:sz w:val="20"/>
                <w:color w:val="392c69"/>
              </w:rPr>
              <w:t xml:space="preserve">, от 18.09.2019 </w:t>
            </w:r>
            <w:hyperlink w:history="0" r:id="rId12"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color w:val="392c69"/>
              </w:rPr>
              <w:t xml:space="preserve">, от 05.12.2019 </w:t>
            </w:r>
            <w:hyperlink w:history="0" r:id="rId13" w:tooltip="Постановление Правительства Пермского края от 05.12.2019 N 89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893-п</w:t>
              </w:r>
            </w:hyperlink>
            <w:r>
              <w:rPr>
                <w:sz w:val="20"/>
                <w:color w:val="392c69"/>
              </w:rPr>
              <w:t xml:space="preserve">,</w:t>
            </w:r>
          </w:p>
          <w:p>
            <w:pPr>
              <w:pStyle w:val="0"/>
              <w:jc w:val="center"/>
            </w:pPr>
            <w:r>
              <w:rPr>
                <w:sz w:val="20"/>
                <w:color w:val="392c69"/>
              </w:rPr>
              <w:t xml:space="preserve">от 09.04.2020 </w:t>
            </w:r>
            <w:hyperlink w:history="0" r:id="rId14"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194-п</w:t>
              </w:r>
            </w:hyperlink>
            <w:r>
              <w:rPr>
                <w:sz w:val="20"/>
                <w:color w:val="392c69"/>
              </w:rPr>
              <w:t xml:space="preserve">, от 28.05.2020 </w:t>
            </w:r>
            <w:hyperlink w:history="0" r:id="rId15" w:tooltip="Постановление Правительства Пермского края от 28.05.2020 N 37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373-п</w:t>
              </w:r>
            </w:hyperlink>
            <w:r>
              <w:rPr>
                <w:sz w:val="20"/>
                <w:color w:val="392c69"/>
              </w:rPr>
              <w:t xml:space="preserve">, от 05.08.2020 </w:t>
            </w:r>
            <w:hyperlink w:history="0" r:id="rId16" w:tooltip="Постановление Правительства Пермского края от 05.08.2020 N 567-п &quot;О внесении изменения в пункт 10 приложения 1 к Порядку предоставления и расходования субвенции из бюджета Пермского края бюджетам муниципальных районов,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 {КонсультантПлюс}">
              <w:r>
                <w:rPr>
                  <w:sz w:val="20"/>
                  <w:color w:val="0000ff"/>
                </w:rPr>
                <w:t xml:space="preserve">N 567-п</w:t>
              </w:r>
            </w:hyperlink>
            <w:r>
              <w:rPr>
                <w:sz w:val="20"/>
                <w:color w:val="392c69"/>
              </w:rPr>
              <w:t xml:space="preserve">,</w:t>
            </w:r>
          </w:p>
          <w:p>
            <w:pPr>
              <w:pStyle w:val="0"/>
              <w:jc w:val="center"/>
            </w:pPr>
            <w:r>
              <w:rPr>
                <w:sz w:val="20"/>
                <w:color w:val="392c69"/>
              </w:rPr>
              <w:t xml:space="preserve">от 07.10.2020 </w:t>
            </w:r>
            <w:hyperlink w:history="0" r:id="rId17" w:tooltip="Постановление Правительства Пермского края от 07.10.2020 N 755-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755-п</w:t>
              </w:r>
            </w:hyperlink>
            <w:r>
              <w:rPr>
                <w:sz w:val="20"/>
                <w:color w:val="392c69"/>
              </w:rPr>
              <w:t xml:space="preserve">, от 11.12.2020 </w:t>
            </w:r>
            <w:hyperlink w:history="0" r:id="rId18" w:tooltip="Постановление Правительства Пермского края от 11.12.2020 N 971-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971-п</w:t>
              </w:r>
            </w:hyperlink>
            <w:r>
              <w:rPr>
                <w:sz w:val="20"/>
                <w:color w:val="392c69"/>
              </w:rPr>
              <w:t xml:space="preserve">, от 03.03.2021 </w:t>
            </w:r>
            <w:hyperlink w:history="0" r:id="rId19" w:tooltip="Постановление Правительства Пермского края от 03.03.2021 N 122-п &quot;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 и отдельных положений постановлений Правительства Пермского края&quot; {КонсультантПлюс}">
              <w:r>
                <w:rPr>
                  <w:sz w:val="20"/>
                  <w:color w:val="0000ff"/>
                </w:rPr>
                <w:t xml:space="preserve">N 122-п</w:t>
              </w:r>
            </w:hyperlink>
            <w:r>
              <w:rPr>
                <w:sz w:val="20"/>
                <w:color w:val="392c69"/>
              </w:rPr>
              <w:t xml:space="preserve">,</w:t>
            </w:r>
          </w:p>
          <w:p>
            <w:pPr>
              <w:pStyle w:val="0"/>
              <w:jc w:val="center"/>
            </w:pPr>
            <w:r>
              <w:rPr>
                <w:sz w:val="20"/>
                <w:color w:val="392c69"/>
              </w:rPr>
              <w:t xml:space="preserve">от 29.04.2021 </w:t>
            </w:r>
            <w:hyperlink w:history="0" r:id="rId20" w:tooltip="Постановление Правительства Пермского края от 29.04.2021 N 251-п &quot;О внесении изменения в пункт 2.4 Порядка предоставления и расходования субвенции из бюджета Пермского края бюджетам муниципальных районов,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 {КонсультантПлюс}">
              <w:r>
                <w:rPr>
                  <w:sz w:val="20"/>
                  <w:color w:val="0000ff"/>
                </w:rPr>
                <w:t xml:space="preserve">N 251-п</w:t>
              </w:r>
            </w:hyperlink>
            <w:r>
              <w:rPr>
                <w:sz w:val="20"/>
                <w:color w:val="392c69"/>
              </w:rPr>
              <w:t xml:space="preserve">, от 25.11.2021 </w:t>
            </w:r>
            <w:hyperlink w:history="0" r:id="rId21"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913-п</w:t>
              </w:r>
            </w:hyperlink>
            <w:r>
              <w:rPr>
                <w:sz w:val="20"/>
                <w:color w:val="392c69"/>
              </w:rPr>
              <w:t xml:space="preserve">, от 22.12.2022 </w:t>
            </w:r>
            <w:hyperlink w:history="0" r:id="rId22" w:tooltip="Постановление Правительства Пермского края от 22.12.2022 N 1132-п &quot;О внесении изменений в сводную бюджетную роспись бюджета Пермского края на 2022 год и на плановый период 2023 и 2024 годов и внесении изменений в отдельные постановления Правительства Пермского края в сфере образования&quot; {КонсультантПлюс}">
              <w:r>
                <w:rPr>
                  <w:sz w:val="20"/>
                  <w:color w:val="0000ff"/>
                </w:rPr>
                <w:t xml:space="preserve">N 1132-п</w:t>
              </w:r>
            </w:hyperlink>
            <w:r>
              <w:rPr>
                <w:sz w:val="20"/>
                <w:color w:val="392c69"/>
              </w:rPr>
              <w:t xml:space="preserve">,</w:t>
            </w:r>
          </w:p>
          <w:p>
            <w:pPr>
              <w:pStyle w:val="0"/>
              <w:jc w:val="center"/>
            </w:pPr>
            <w:r>
              <w:rPr>
                <w:sz w:val="20"/>
                <w:color w:val="392c69"/>
              </w:rPr>
              <w:t xml:space="preserve">от 28.12.2022 </w:t>
            </w:r>
            <w:hyperlink w:history="0" r:id="rId23"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color w:val="392c69"/>
              </w:rPr>
              <w:t xml:space="preserve">, от 10.05.2023 </w:t>
            </w:r>
            <w:hyperlink w:history="0" r:id="rId24"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354-п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25" w:tooltip="Федеральный закон от 24.11.1995 N 181-ФЗ (ред. от 28.04.2023) &quot;О социальной защите инвалидов в Российской Федерации&quot; {КонсультантПлюс}">
        <w:r>
          <w:rPr>
            <w:sz w:val="20"/>
            <w:color w:val="0000ff"/>
          </w:rPr>
          <w:t xml:space="preserve">статьей 19</w:t>
        </w:r>
      </w:hyperlink>
      <w:r>
        <w:rPr>
          <w:sz w:val="20"/>
        </w:rPr>
        <w:t xml:space="preserve"> Федерального закона от 24 ноября 1995 г. N 181-ФЗ "О социальной защите инвалидов в Российской Федерации", </w:t>
      </w:r>
      <w:hyperlink w:history="0" r:id="rId2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статьями 8</w:t>
        </w:r>
      </w:hyperlink>
      <w:r>
        <w:rPr>
          <w:sz w:val="20"/>
        </w:rPr>
        <w:t xml:space="preserve">, </w:t>
      </w:r>
      <w:hyperlink w:history="0" r:id="rId2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79</w:t>
        </w:r>
      </w:hyperlink>
      <w:r>
        <w:rPr>
          <w:sz w:val="20"/>
        </w:rPr>
        <w:t xml:space="preserve"> Федерального закона от 29 декабря 2012 г. N 273-ФЗ "Об образовании в Российской Федерации", </w:t>
      </w:r>
      <w:hyperlink w:history="0" r:id="rId28" w:tooltip="Закон Пермского края от 12.10.2007 N 111-ПК (ред. от 26.04.2023) &quot;О бюджетном процессе в Пермском крае&quot; (принят ЗС ПК 20.09.2007) {КонсультантПлюс}">
        <w:r>
          <w:rPr>
            <w:sz w:val="20"/>
            <w:color w:val="0000ff"/>
          </w:rPr>
          <w:t xml:space="preserve">статьей 23</w:t>
        </w:r>
      </w:hyperlink>
      <w:r>
        <w:rPr>
          <w:sz w:val="20"/>
        </w:rPr>
        <w:t xml:space="preserve"> Закона Пермского края от 12 октября 2007 г. N 111-ПК "О бюджетном процессе в Пермском крае", </w:t>
      </w:r>
      <w:hyperlink w:history="0" r:id="rId29"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статьей 4</w:t>
        </w:r>
      </w:hyperlink>
      <w:r>
        <w:rPr>
          <w:sz w:val="20"/>
        </w:rPr>
        <w:t xml:space="preserve">, </w:t>
      </w:r>
      <w:hyperlink w:history="0" r:id="rId30"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частью 3 статьи 12</w:t>
        </w:r>
      </w:hyperlink>
      <w:r>
        <w:rPr>
          <w:sz w:val="20"/>
        </w:rPr>
        <w:t xml:space="preserve"> Закона Пермского края от 12 марта 2014 г. N 308-ПК "Об образовании в Пермском крае" Правительство Пермского края постановляет:</w:t>
      </w:r>
    </w:p>
    <w:p>
      <w:pPr>
        <w:pStyle w:val="0"/>
        <w:jc w:val="both"/>
      </w:pPr>
      <w:r>
        <w:rPr>
          <w:sz w:val="20"/>
        </w:rPr>
        <w:t xml:space="preserve">(в ред. Постановлений Правительства Пермского края от 02.11.2018 </w:t>
      </w:r>
      <w:hyperlink w:history="0" r:id="rId31" w:tooltip="Постановление Правительства Пермского края от 02.11.2018 N 651-п &quot;О внесении изменений в Постановление Правительства Пермского края от 30 мая 2018 г. N 294-п &quot;Об утверждении Порядка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 {КонсультантПлюс}">
        <w:r>
          <w:rPr>
            <w:sz w:val="20"/>
            <w:color w:val="0000ff"/>
          </w:rPr>
          <w:t xml:space="preserve">N 651-п</w:t>
        </w:r>
      </w:hyperlink>
      <w:r>
        <w:rPr>
          <w:sz w:val="20"/>
        </w:rPr>
        <w:t xml:space="preserve">, от 28.12.2022 </w:t>
      </w:r>
      <w:hyperlink w:history="0" r:id="rId32"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jc w:val="both"/>
      </w:pPr>
      <w:r>
        <w:rPr>
          <w:sz w:val="20"/>
        </w:rPr>
      </w:r>
    </w:p>
    <w:p>
      <w:pPr>
        <w:pStyle w:val="0"/>
        <w:ind w:firstLine="540"/>
        <w:jc w:val="both"/>
      </w:pPr>
      <w:r>
        <w:rPr>
          <w:sz w:val="20"/>
        </w:rPr>
        <w:t xml:space="preserve">1. Утвердить прилагаемый </w:t>
      </w:r>
      <w:hyperlink w:history="0" w:anchor="P50" w:tooltip="ПОРЯДОК">
        <w:r>
          <w:rPr>
            <w:sz w:val="20"/>
            <w:color w:val="0000ff"/>
          </w:rPr>
          <w:t xml:space="preserve">Порядок</w:t>
        </w:r>
      </w:hyperlink>
      <w:r>
        <w:rPr>
          <w:sz w:val="20"/>
        </w:rPr>
        <w:t xml:space="preserve">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w:t>
      </w:r>
    </w:p>
    <w:p>
      <w:pPr>
        <w:pStyle w:val="0"/>
        <w:jc w:val="both"/>
      </w:pPr>
      <w:r>
        <w:rPr>
          <w:sz w:val="20"/>
        </w:rPr>
        <w:t xml:space="preserve">(в ред. Постановлений Правительства Пермского края от 18.09.2019 </w:t>
      </w:r>
      <w:hyperlink w:history="0" r:id="rId33"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34"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35" w:tooltip="Постановление Правительства Пермского края от 21.03.2014 N 179-п (ред. от 17.02.2017) &quot;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21 марта 2014 г. N 179-п "Об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w:t>
      </w:r>
    </w:p>
    <w:p>
      <w:pPr>
        <w:pStyle w:val="0"/>
        <w:spacing w:before="200" w:line-rule="auto"/>
        <w:ind w:firstLine="540"/>
        <w:jc w:val="both"/>
      </w:pPr>
      <w:hyperlink w:history="0" r:id="rId36" w:tooltip="Постановление Правительства Пермского края от 04.06.2015 N 351-п &quot;О внесении изменений в Постановление Правительства Пермского края от 21 марта 2014 г. N 179-п &quot;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4 июня 2015 г. N 351-п "О внесении изменений в Постановление Правительства Пермского края от 21 марта 2014 г. N 179-п "Об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w:t>
      </w:r>
    </w:p>
    <w:p>
      <w:pPr>
        <w:pStyle w:val="0"/>
        <w:spacing w:before="200" w:line-rule="auto"/>
        <w:ind w:firstLine="540"/>
        <w:jc w:val="both"/>
      </w:pPr>
      <w:hyperlink w:history="0" r:id="rId37" w:tooltip="Постановление Правительства Пермского края от 11.03.2016 N 111-п &quot;О внесении изменений в Постановление Правительства Пермского края от 21 марта 2014 г. N 179-п &quot;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11 марта 2016 г. N 111-п "О внесении изменений в Постановление Правительства Пермского края от 21 марта 2014 г. N 179-п "Об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w:t>
      </w:r>
    </w:p>
    <w:p>
      <w:pPr>
        <w:pStyle w:val="0"/>
        <w:spacing w:before="200" w:line-rule="auto"/>
        <w:ind w:firstLine="540"/>
        <w:jc w:val="both"/>
      </w:pPr>
      <w:hyperlink w:history="0" r:id="rId38" w:tooltip="Постановление Правительства Пермского края от 10.10.2016 N 892-п &quot;О внесении изменений в Порядок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 утвержденный Постановлением Правительства Пермского края от 21 марта 2014 г. N 179-п&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10 октября 2016 г. N 892-п "О внесении изменений в Порядок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 утвержденный Постановлением Правительства Пермского края от 21 марта 2014 г. N 179-п";</w:t>
      </w:r>
    </w:p>
    <w:p>
      <w:pPr>
        <w:pStyle w:val="0"/>
        <w:spacing w:before="200" w:line-rule="auto"/>
        <w:ind w:firstLine="540"/>
        <w:jc w:val="both"/>
      </w:pPr>
      <w:hyperlink w:history="0" r:id="rId39" w:tooltip="Постановление Правительства Пермского края от 17.02.2017 N 46-п &quot;О внесении изменений в Постановление Правительства Пермского края от 21 марта 2014 г. N 179-п &quot;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quot;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17 февраля 2017 г. N 46-п "О внесении изменений в Постановление Правительства Пермского края от 21 марта 2014 г. N 179-п "Об утверждении Порядка предоставления и расходования субвенций из бюджета Пермского края бюджетам муниципальных районов и городских округов Пермского края на осуществление отдельных государственных полномочий в сфере образования".</w:t>
      </w:r>
    </w:p>
    <w:p>
      <w:pPr>
        <w:pStyle w:val="0"/>
        <w:spacing w:before="200" w:line-rule="auto"/>
        <w:ind w:firstLine="540"/>
        <w:jc w:val="both"/>
      </w:pPr>
      <w:r>
        <w:rPr>
          <w:sz w:val="20"/>
        </w:rPr>
        <w:t xml:space="preserve">3. Настоящее Постановление вступает в силу через 10 дней после дня его официального опубликования.</w:t>
      </w:r>
    </w:p>
    <w:p>
      <w:pPr>
        <w:pStyle w:val="0"/>
        <w:spacing w:before="200" w:line-rule="auto"/>
        <w:ind w:firstLine="540"/>
        <w:jc w:val="both"/>
      </w:pPr>
      <w:r>
        <w:rPr>
          <w:sz w:val="20"/>
        </w:rPr>
        <w:t xml:space="preserve">4. Контроль за исполнением постановления возложить на заместителя председателя Правительства Пермского края (по вопросам образования, культуры и спорта).</w:t>
      </w:r>
    </w:p>
    <w:p>
      <w:pPr>
        <w:pStyle w:val="0"/>
        <w:jc w:val="both"/>
      </w:pPr>
      <w:r>
        <w:rPr>
          <w:sz w:val="20"/>
        </w:rPr>
        <w:t xml:space="preserve">(в ред. Постановлений Правительства Пермского края от 02.11.2018 </w:t>
      </w:r>
      <w:hyperlink w:history="0" r:id="rId40" w:tooltip="Постановление Правительства Пермского края от 02.11.2018 N 651-п &quot;О внесении изменений в Постановление Правительства Пермского края от 30 мая 2018 г. N 294-п &quot;Об утверждении Порядка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 {КонсультантПлюс}">
        <w:r>
          <w:rPr>
            <w:sz w:val="20"/>
            <w:color w:val="0000ff"/>
          </w:rPr>
          <w:t xml:space="preserve">N 651-п</w:t>
        </w:r>
      </w:hyperlink>
      <w:r>
        <w:rPr>
          <w:sz w:val="20"/>
        </w:rPr>
        <w:t xml:space="preserve">, от 10.07.2019 </w:t>
      </w:r>
      <w:hyperlink w:history="0" r:id="rId41" w:tooltip="Постановление Правительства Пермского края от 10.07.2019 N 465-п &quot;О внесении изменений в отдельные постановления Правительства Пермского края и признании утратившими силу отдельных постановлений Правительства Пермского края в сфере образования&quot; {КонсультантПлюс}">
        <w:r>
          <w:rPr>
            <w:sz w:val="20"/>
            <w:color w:val="0000ff"/>
          </w:rPr>
          <w:t xml:space="preserve">N 465-п</w:t>
        </w:r>
      </w:hyperlink>
      <w:r>
        <w:rPr>
          <w:sz w:val="20"/>
        </w:rPr>
        <w:t xml:space="preserve">, от 11.12.2020 </w:t>
      </w:r>
      <w:hyperlink w:history="0" r:id="rId42" w:tooltip="Постановление Правительства Пермского края от 11.12.2020 N 971-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971-п</w:t>
        </w:r>
      </w:hyperlink>
      <w:r>
        <w:rPr>
          <w:sz w:val="20"/>
        </w:rPr>
        <w:t xml:space="preserve">)</w:t>
      </w:r>
    </w:p>
    <w:p>
      <w:pPr>
        <w:pStyle w:val="0"/>
        <w:jc w:val="both"/>
      </w:pPr>
      <w:r>
        <w:rPr>
          <w:sz w:val="20"/>
        </w:rPr>
      </w:r>
    </w:p>
    <w:p>
      <w:pPr>
        <w:pStyle w:val="0"/>
        <w:jc w:val="right"/>
      </w:pPr>
      <w:r>
        <w:rPr>
          <w:sz w:val="20"/>
        </w:rPr>
        <w:t xml:space="preserve">Губернатор Пермского края</w:t>
      </w:r>
    </w:p>
    <w:p>
      <w:pPr>
        <w:pStyle w:val="0"/>
        <w:jc w:val="right"/>
      </w:pPr>
      <w:r>
        <w:rPr>
          <w:sz w:val="20"/>
        </w:rPr>
        <w:t xml:space="preserve">М.Г.РЕШЕТНИКОВ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30.05.2018 N 294-п</w:t>
      </w:r>
    </w:p>
    <w:p>
      <w:pPr>
        <w:pStyle w:val="0"/>
        <w:jc w:val="both"/>
      </w:pPr>
      <w:r>
        <w:rPr>
          <w:sz w:val="20"/>
        </w:rPr>
      </w:r>
    </w:p>
    <w:bookmarkStart w:id="50" w:name="P50"/>
    <w:bookmarkEnd w:id="50"/>
    <w:p>
      <w:pPr>
        <w:pStyle w:val="2"/>
        <w:jc w:val="center"/>
      </w:pPr>
      <w:r>
        <w:rPr>
          <w:sz w:val="20"/>
        </w:rPr>
        <w:t xml:space="preserve">ПОРЯДОК</w:t>
      </w:r>
    </w:p>
    <w:p>
      <w:pPr>
        <w:pStyle w:val="2"/>
        <w:jc w:val="center"/>
      </w:pPr>
      <w:r>
        <w:rPr>
          <w:sz w:val="20"/>
        </w:rPr>
        <w:t xml:space="preserve">ПРЕДОСТАВЛЕНИЯ И РАСХОДОВАНИЯ СУБВЕНЦИИ ИЗ БЮДЖЕТА ПЕРМСКОГО</w:t>
      </w:r>
    </w:p>
    <w:p>
      <w:pPr>
        <w:pStyle w:val="2"/>
        <w:jc w:val="center"/>
      </w:pPr>
      <w:r>
        <w:rPr>
          <w:sz w:val="20"/>
        </w:rPr>
        <w:t xml:space="preserve">КРАЯ БЮДЖЕТАМ МУНИЦИПАЛЬНЫХ ОБРАЗОВАНИЙ ПЕРМСКОГО КРАЯ</w:t>
      </w:r>
    </w:p>
    <w:p>
      <w:pPr>
        <w:pStyle w:val="2"/>
        <w:jc w:val="center"/>
      </w:pPr>
      <w:r>
        <w:rPr>
          <w:sz w:val="20"/>
        </w:rPr>
        <w:t xml:space="preserve">НА ОБЕСПЕЧЕНИЕ ГОСУДАРСТВЕННЫХ ГАРАНТИЙ РЕАЛИЗАЦИИ ПРАВ</w:t>
      </w:r>
    </w:p>
    <w:p>
      <w:pPr>
        <w:pStyle w:val="2"/>
        <w:jc w:val="center"/>
      </w:pPr>
      <w:r>
        <w:rPr>
          <w:sz w:val="20"/>
        </w:rPr>
        <w:t xml:space="preserve">НА ПОЛУЧЕНИЕ ОБЩЕДОСТУПНОГО И БЕСПЛАТНОГО ДОШКОЛЬНОГО,</w:t>
      </w:r>
    </w:p>
    <w:p>
      <w:pPr>
        <w:pStyle w:val="2"/>
        <w:jc w:val="center"/>
      </w:pPr>
      <w:r>
        <w:rPr>
          <w:sz w:val="20"/>
        </w:rPr>
        <w:t xml:space="preserve">НАЧАЛЬНОГО ОБЩЕГО, ОСНОВНОГО ОБЩЕГО, СРЕДНЕГО ОБЩЕГО</w:t>
      </w:r>
    </w:p>
    <w:p>
      <w:pPr>
        <w:pStyle w:val="2"/>
        <w:jc w:val="center"/>
      </w:pPr>
      <w:r>
        <w:rPr>
          <w:sz w:val="20"/>
        </w:rPr>
        <w:t xml:space="preserve">ОБРАЗОВАНИЯ, А ТАКЖЕ ДОПОЛНИТЕЛЬНОГО ОБРАЗОВАНИЯ</w:t>
      </w:r>
    </w:p>
    <w:p>
      <w:pPr>
        <w:pStyle w:val="2"/>
        <w:jc w:val="center"/>
      </w:pPr>
      <w:r>
        <w:rPr>
          <w:sz w:val="20"/>
        </w:rPr>
        <w:t xml:space="preserve">В МУНИЦИПАЛЬНЫХ ОБЩЕОБРАЗОВАТЕЛЬНЫХ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19.10.2018 </w:t>
            </w:r>
            <w:hyperlink w:history="0" r:id="rId43" w:tooltip="Постановление Правительства Пермского края от 19.10.2018 N 613-п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утвержденный Постано {КонсультантПлюс}">
              <w:r>
                <w:rPr>
                  <w:sz w:val="20"/>
                  <w:color w:val="0000ff"/>
                </w:rPr>
                <w:t xml:space="preserve">N 613-п</w:t>
              </w:r>
            </w:hyperlink>
            <w:r>
              <w:rPr>
                <w:sz w:val="20"/>
                <w:color w:val="392c69"/>
              </w:rPr>
              <w:t xml:space="preserve">,</w:t>
            </w:r>
          </w:p>
          <w:p>
            <w:pPr>
              <w:pStyle w:val="0"/>
              <w:jc w:val="center"/>
            </w:pPr>
            <w:r>
              <w:rPr>
                <w:sz w:val="20"/>
                <w:color w:val="392c69"/>
              </w:rPr>
              <w:t xml:space="preserve">от 31.10.2018 </w:t>
            </w:r>
            <w:hyperlink w:history="0" r:id="rId44" w:tooltip="Постановление Правительства Пермского края от 31.10.2018 N 639-п (ред. от 09.04.2020)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КонсультантПлюс}">
              <w:r>
                <w:rPr>
                  <w:sz w:val="20"/>
                  <w:color w:val="0000ff"/>
                </w:rPr>
                <w:t xml:space="preserve">N 639-п</w:t>
              </w:r>
            </w:hyperlink>
            <w:r>
              <w:rPr>
                <w:sz w:val="20"/>
                <w:color w:val="392c69"/>
              </w:rPr>
              <w:t xml:space="preserve">, от 02.11.2018 </w:t>
            </w:r>
            <w:hyperlink w:history="0" r:id="rId45" w:tooltip="Постановление Правительства Пермского края от 02.11.2018 N 651-п &quot;О внесении изменений в Постановление Правительства Пермского края от 30 мая 2018 г. N 294-п &quot;Об утверждении Порядка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 {КонсультантПлюс}">
              <w:r>
                <w:rPr>
                  <w:sz w:val="20"/>
                  <w:color w:val="0000ff"/>
                </w:rPr>
                <w:t xml:space="preserve">N 651-п</w:t>
              </w:r>
            </w:hyperlink>
            <w:r>
              <w:rPr>
                <w:sz w:val="20"/>
                <w:color w:val="392c69"/>
              </w:rPr>
              <w:t xml:space="preserve">, от 25.12.2018 </w:t>
            </w:r>
            <w:hyperlink w:history="0" r:id="rId46" w:tooltip="Постановление Правительства Пермского края от 25.12.2018 N 862-п (ред. от 08.02.2023) &quot;О внесении изменений в отдельные постановления Правительства Пермского края в сфере образования и науки&quot; {КонсультантПлюс}">
              <w:r>
                <w:rPr>
                  <w:sz w:val="20"/>
                  <w:color w:val="0000ff"/>
                </w:rPr>
                <w:t xml:space="preserve">N 862-п</w:t>
              </w:r>
            </w:hyperlink>
            <w:r>
              <w:rPr>
                <w:sz w:val="20"/>
                <w:color w:val="392c69"/>
              </w:rPr>
              <w:t xml:space="preserve">,</w:t>
            </w:r>
          </w:p>
          <w:p>
            <w:pPr>
              <w:pStyle w:val="0"/>
              <w:jc w:val="center"/>
            </w:pPr>
            <w:r>
              <w:rPr>
                <w:sz w:val="20"/>
                <w:color w:val="392c69"/>
              </w:rPr>
              <w:t xml:space="preserve">от 10.07.2019 </w:t>
            </w:r>
            <w:hyperlink w:history="0" r:id="rId47" w:tooltip="Постановление Правительства Пермского края от 10.07.2019 N 465-п &quot;О внесении изменений в отдельные постановления Правительства Пермского края и признании утратившими силу отдельных постановлений Правительства Пермского края в сфере образования&quot; {КонсультантПлюс}">
              <w:r>
                <w:rPr>
                  <w:sz w:val="20"/>
                  <w:color w:val="0000ff"/>
                </w:rPr>
                <w:t xml:space="preserve">N 465-п</w:t>
              </w:r>
            </w:hyperlink>
            <w:r>
              <w:rPr>
                <w:sz w:val="20"/>
                <w:color w:val="392c69"/>
              </w:rPr>
              <w:t xml:space="preserve">, от 18.09.2019 </w:t>
            </w:r>
            <w:hyperlink w:history="0" r:id="rId48"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color w:val="392c69"/>
              </w:rPr>
              <w:t xml:space="preserve">, от 05.12.2019 </w:t>
            </w:r>
            <w:hyperlink w:history="0" r:id="rId49" w:tooltip="Постановление Правительства Пермского края от 05.12.2019 N 89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893-п</w:t>
              </w:r>
            </w:hyperlink>
            <w:r>
              <w:rPr>
                <w:sz w:val="20"/>
                <w:color w:val="392c69"/>
              </w:rPr>
              <w:t xml:space="preserve">,</w:t>
            </w:r>
          </w:p>
          <w:p>
            <w:pPr>
              <w:pStyle w:val="0"/>
              <w:jc w:val="center"/>
            </w:pPr>
            <w:r>
              <w:rPr>
                <w:sz w:val="20"/>
                <w:color w:val="392c69"/>
              </w:rPr>
              <w:t xml:space="preserve">от 09.04.2020 </w:t>
            </w:r>
            <w:hyperlink w:history="0" r:id="rId50"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194-п</w:t>
              </w:r>
            </w:hyperlink>
            <w:r>
              <w:rPr>
                <w:sz w:val="20"/>
                <w:color w:val="392c69"/>
              </w:rPr>
              <w:t xml:space="preserve">, от 28.05.2020 </w:t>
            </w:r>
            <w:hyperlink w:history="0" r:id="rId51" w:tooltip="Постановление Правительства Пермского края от 28.05.2020 N 37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373-п</w:t>
              </w:r>
            </w:hyperlink>
            <w:r>
              <w:rPr>
                <w:sz w:val="20"/>
                <w:color w:val="392c69"/>
              </w:rPr>
              <w:t xml:space="preserve">, от 05.08.2020 </w:t>
            </w:r>
            <w:hyperlink w:history="0" r:id="rId52" w:tooltip="Постановление Правительства Пермского края от 05.08.2020 N 567-п &quot;О внесении изменения в пункт 10 приложения 1 к Порядку предоставления и расходования субвенции из бюджета Пермского края бюджетам муниципальных районов,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 {КонсультантПлюс}">
              <w:r>
                <w:rPr>
                  <w:sz w:val="20"/>
                  <w:color w:val="0000ff"/>
                </w:rPr>
                <w:t xml:space="preserve">N 567-п</w:t>
              </w:r>
            </w:hyperlink>
            <w:r>
              <w:rPr>
                <w:sz w:val="20"/>
                <w:color w:val="392c69"/>
              </w:rPr>
              <w:t xml:space="preserve">,</w:t>
            </w:r>
          </w:p>
          <w:p>
            <w:pPr>
              <w:pStyle w:val="0"/>
              <w:jc w:val="center"/>
            </w:pPr>
            <w:r>
              <w:rPr>
                <w:sz w:val="20"/>
                <w:color w:val="392c69"/>
              </w:rPr>
              <w:t xml:space="preserve">от 07.10.2020 </w:t>
            </w:r>
            <w:hyperlink w:history="0" r:id="rId53" w:tooltip="Постановление Правительства Пермского края от 07.10.2020 N 755-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755-п</w:t>
              </w:r>
            </w:hyperlink>
            <w:r>
              <w:rPr>
                <w:sz w:val="20"/>
                <w:color w:val="392c69"/>
              </w:rPr>
              <w:t xml:space="preserve">, от 11.12.2020 </w:t>
            </w:r>
            <w:hyperlink w:history="0" r:id="rId54" w:tooltip="Постановление Правительства Пермского края от 11.12.2020 N 971-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971-п</w:t>
              </w:r>
            </w:hyperlink>
            <w:r>
              <w:rPr>
                <w:sz w:val="20"/>
                <w:color w:val="392c69"/>
              </w:rPr>
              <w:t xml:space="preserve">, от 03.03.2021 </w:t>
            </w:r>
            <w:hyperlink w:history="0" r:id="rId55" w:tooltip="Постановление Правительства Пермского края от 03.03.2021 N 122-п &quot;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 и отдельных положений постановлений Правительства Пермского края&quot; {КонсультантПлюс}">
              <w:r>
                <w:rPr>
                  <w:sz w:val="20"/>
                  <w:color w:val="0000ff"/>
                </w:rPr>
                <w:t xml:space="preserve">N 122-п</w:t>
              </w:r>
            </w:hyperlink>
            <w:r>
              <w:rPr>
                <w:sz w:val="20"/>
                <w:color w:val="392c69"/>
              </w:rPr>
              <w:t xml:space="preserve">,</w:t>
            </w:r>
          </w:p>
          <w:p>
            <w:pPr>
              <w:pStyle w:val="0"/>
              <w:jc w:val="center"/>
            </w:pPr>
            <w:r>
              <w:rPr>
                <w:sz w:val="20"/>
                <w:color w:val="392c69"/>
              </w:rPr>
              <w:t xml:space="preserve">от 29.04.2021 </w:t>
            </w:r>
            <w:hyperlink w:history="0" r:id="rId56" w:tooltip="Постановление Правительства Пермского края от 29.04.2021 N 251-п &quot;О внесении изменения в пункт 2.4 Порядка предоставления и расходования субвенции из бюджета Пермского края бюджетам муниципальных районов,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 {КонсультантПлюс}">
              <w:r>
                <w:rPr>
                  <w:sz w:val="20"/>
                  <w:color w:val="0000ff"/>
                </w:rPr>
                <w:t xml:space="preserve">N 251-п</w:t>
              </w:r>
            </w:hyperlink>
            <w:r>
              <w:rPr>
                <w:sz w:val="20"/>
                <w:color w:val="392c69"/>
              </w:rPr>
              <w:t xml:space="preserve">, от 25.11.2021 </w:t>
            </w:r>
            <w:hyperlink w:history="0" r:id="rId57"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913-п</w:t>
              </w:r>
            </w:hyperlink>
            <w:r>
              <w:rPr>
                <w:sz w:val="20"/>
                <w:color w:val="392c69"/>
              </w:rPr>
              <w:t xml:space="preserve">, от 22.12.2022 </w:t>
            </w:r>
            <w:hyperlink w:history="0" r:id="rId58" w:tooltip="Постановление Правительства Пермского края от 22.12.2022 N 1132-п &quot;О внесении изменений в сводную бюджетную роспись бюджета Пермского края на 2022 год и на плановый период 2023 и 2024 годов и внесении изменений в отдельные постановления Правительства Пермского края в сфере образования&quot; {КонсультантПлюс}">
              <w:r>
                <w:rPr>
                  <w:sz w:val="20"/>
                  <w:color w:val="0000ff"/>
                </w:rPr>
                <w:t xml:space="preserve">N 1132-п</w:t>
              </w:r>
            </w:hyperlink>
            <w:r>
              <w:rPr>
                <w:sz w:val="20"/>
                <w:color w:val="392c69"/>
              </w:rPr>
              <w:t xml:space="preserve">,</w:t>
            </w:r>
          </w:p>
          <w:p>
            <w:pPr>
              <w:pStyle w:val="0"/>
              <w:jc w:val="center"/>
            </w:pPr>
            <w:r>
              <w:rPr>
                <w:sz w:val="20"/>
                <w:color w:val="392c69"/>
              </w:rPr>
              <w:t xml:space="preserve">от 28.12.2022 </w:t>
            </w:r>
            <w:hyperlink w:history="0" r:id="rId59"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color w:val="392c69"/>
              </w:rPr>
              <w:t xml:space="preserve">, от 10.05.2023 </w:t>
            </w:r>
            <w:hyperlink w:history="0" r:id="rId60"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354-п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Настоящий Порядок устанавливает правила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(далее - субвенция), входящей в состав единой субвенции на выполнение отдельных государственных полномочий в сфере образования.</w:t>
      </w:r>
    </w:p>
    <w:p>
      <w:pPr>
        <w:pStyle w:val="0"/>
        <w:jc w:val="both"/>
      </w:pPr>
      <w:r>
        <w:rPr>
          <w:sz w:val="20"/>
        </w:rPr>
        <w:t xml:space="preserve">(в ред. Постановлений Правительства Пермского края от 18.09.2019 </w:t>
      </w:r>
      <w:hyperlink w:history="0" r:id="rId61"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62"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hyperlink w:history="0" r:id="rId63"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color w:val="392c69"/>
              </w:rPr>
              <w:t xml:space="preserve"> Правительства Пермского края от 10.05.2023 N 354-п разд. II изложен в новой редакции, действие которой </w:t>
            </w:r>
            <w:hyperlink w:history="0" r:id="rId64"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распространяется</w:t>
              </w:r>
            </w:hyperlink>
            <w:r>
              <w:rPr>
                <w:sz w:val="20"/>
                <w:color w:val="392c69"/>
              </w:rPr>
              <w:t xml:space="preserve"> на правоотношения, возникшие с 28.12.2022.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jc w:val="center"/>
      </w:pPr>
      <w:r>
        <w:rPr>
          <w:sz w:val="20"/>
        </w:rPr>
        <w:t xml:space="preserve">II. Порядок планирования и предоставления субвенции</w:t>
      </w:r>
    </w:p>
    <w:p>
      <w:pPr>
        <w:pStyle w:val="0"/>
        <w:jc w:val="center"/>
      </w:pPr>
      <w:r>
        <w:rPr>
          <w:sz w:val="20"/>
        </w:rPr>
        <w:t xml:space="preserve">(в ред. </w:t>
      </w:r>
      <w:hyperlink w:history="0" r:id="rId65"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w:t>
      </w:r>
    </w:p>
    <w:p>
      <w:pPr>
        <w:pStyle w:val="0"/>
        <w:jc w:val="center"/>
      </w:pPr>
      <w:r>
        <w:rPr>
          <w:sz w:val="20"/>
        </w:rPr>
        <w:t xml:space="preserve">от 10.05.2023 N 354-п)</w:t>
      </w:r>
    </w:p>
    <w:p>
      <w:pPr>
        <w:pStyle w:val="0"/>
        <w:jc w:val="both"/>
      </w:pPr>
      <w:r>
        <w:rPr>
          <w:sz w:val="20"/>
        </w:rPr>
      </w:r>
    </w:p>
    <w:p>
      <w:pPr>
        <w:pStyle w:val="0"/>
        <w:ind w:firstLine="540"/>
        <w:jc w:val="both"/>
      </w:pPr>
      <w:r>
        <w:rPr>
          <w:sz w:val="20"/>
        </w:rPr>
        <w:t xml:space="preserve">2.1. Субвенция предоставляется бюджетам муниципальных образований Пермского края в целях финансового обеспечения государственных гарантий на получение общедоступного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w:t>
      </w:r>
    </w:p>
    <w:p>
      <w:pPr>
        <w:pStyle w:val="0"/>
        <w:spacing w:before="200" w:line-rule="auto"/>
        <w:ind w:firstLine="540"/>
        <w:jc w:val="both"/>
      </w:pPr>
      <w:r>
        <w:rPr>
          <w:sz w:val="20"/>
        </w:rPr>
        <w:t xml:space="preserve">2.2. Объем субвенции на очередной финансовый год и на плановый период определяется в соответствии с расчетными показателями, утвержденными нормативным правовым актом Правительства Пермского края, и численностью обучающихся, согласованной с органами местного самоуправления муниципальных образований Пермского края для распределения межбюджетных трансфертов.</w:t>
      </w:r>
    </w:p>
    <w:p>
      <w:pPr>
        <w:pStyle w:val="0"/>
        <w:spacing w:before="200" w:line-rule="auto"/>
        <w:ind w:firstLine="540"/>
        <w:jc w:val="both"/>
      </w:pPr>
      <w:r>
        <w:rPr>
          <w:sz w:val="20"/>
        </w:rPr>
        <w:t xml:space="preserve">2.3. Объем субвенции утверждается законом Пермского края о бюджете Пермского края на очередной финансовый год и на плановый период в составе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 и включает в себя:</w:t>
      </w:r>
    </w:p>
    <w:p>
      <w:pPr>
        <w:pStyle w:val="0"/>
        <w:spacing w:before="200" w:line-rule="auto"/>
        <w:ind w:firstLine="540"/>
        <w:jc w:val="both"/>
      </w:pPr>
      <w:r>
        <w:rPr>
          <w:sz w:val="20"/>
        </w:rPr>
        <w:t xml:space="preserve">объем дополнительного финансирования муниципальных общеобразовательных организаций на обеспечение стимулирования педагогических работников по результатам обучения школьников;</w:t>
      </w:r>
    </w:p>
    <w:p>
      <w:pPr>
        <w:pStyle w:val="0"/>
        <w:spacing w:before="200" w:line-rule="auto"/>
        <w:ind w:firstLine="540"/>
        <w:jc w:val="both"/>
      </w:pPr>
      <w:r>
        <w:rPr>
          <w:sz w:val="20"/>
        </w:rPr>
        <w:t xml:space="preserve">объем дополнительного финансирования муниципальных общеобразовательных организаций на обеспечение выплаты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p>
      <w:pPr>
        <w:pStyle w:val="0"/>
        <w:spacing w:before="200" w:line-rule="auto"/>
        <w:ind w:firstLine="540"/>
        <w:jc w:val="both"/>
      </w:pPr>
      <w:r>
        <w:rPr>
          <w:sz w:val="20"/>
        </w:rPr>
        <w:t xml:space="preserve">объем дополнительного финансирования муниципальных общеобразовательных организаций, в которых расчетный объем финансового обеспечения образовательной деятельности выше размера расчетных показателей расходов бюджета, утвержденных нормативным правовым актом Правительства Пермского края;</w:t>
      </w:r>
    </w:p>
    <w:p>
      <w:pPr>
        <w:pStyle w:val="0"/>
        <w:spacing w:before="200" w:line-rule="auto"/>
        <w:ind w:firstLine="540"/>
        <w:jc w:val="both"/>
      </w:pPr>
      <w:r>
        <w:rPr>
          <w:sz w:val="20"/>
        </w:rPr>
        <w:t xml:space="preserve">объем дополнительного финансирования муниципальных общеобразовательных организаций, прошедших процедуру реорганизации (слияния, присоединения), на приобретение и модернизацию объектов, используемых в образовательном и воспитательном процессах;</w:t>
      </w:r>
    </w:p>
    <w:p>
      <w:pPr>
        <w:pStyle w:val="0"/>
        <w:spacing w:before="200" w:line-rule="auto"/>
        <w:ind w:firstLine="540"/>
        <w:jc w:val="both"/>
      </w:pPr>
      <w:r>
        <w:rPr>
          <w:sz w:val="20"/>
        </w:rPr>
        <w:t xml:space="preserve">объем дополнительного финансирования общеобразовательных организаций с целью выполнения целевых показателей заработной платы отдельных категорий педагогических работников, установленных </w:t>
      </w:r>
      <w:hyperlink w:history="0" r:id="rId66"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07 мая 2012 г. N 597 "О мероприятиях по реализации государственной социальной политики".</w:t>
      </w:r>
    </w:p>
    <w:p>
      <w:pPr>
        <w:pStyle w:val="0"/>
        <w:spacing w:before="200" w:line-rule="auto"/>
        <w:ind w:firstLine="540"/>
        <w:jc w:val="both"/>
      </w:pPr>
      <w:r>
        <w:rPr>
          <w:sz w:val="20"/>
        </w:rPr>
        <w:t xml:space="preserve">Предоставление субвенции осуществляется в порядке, установленном </w:t>
      </w:r>
      <w:hyperlink w:history="0" r:id="rId67" w:tooltip="Постановление Правительства Пермского края от 20.12.2017 N 1014-п (ред. от 28.12.2022) &quot;Об утверждении Порядка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quot; {КонсультантПлюс}">
        <w:r>
          <w:rPr>
            <w:sz w:val="20"/>
            <w:color w:val="0000ff"/>
          </w:rPr>
          <w:t xml:space="preserve">Порядком</w:t>
        </w:r>
      </w:hyperlink>
      <w:r>
        <w:rPr>
          <w:sz w:val="20"/>
        </w:rPr>
        <w:t xml:space="preserve">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 утвержденным постановлением Правительства Пермского края от 20 декабря 2017 г. N 1014-п.</w:t>
      </w:r>
    </w:p>
    <w:p>
      <w:pPr>
        <w:pStyle w:val="0"/>
        <w:spacing w:before="200" w:line-rule="auto"/>
        <w:ind w:firstLine="540"/>
        <w:jc w:val="both"/>
      </w:pPr>
      <w:r>
        <w:rPr>
          <w:sz w:val="20"/>
        </w:rPr>
        <w:t xml:space="preserve">2.4. Распределение средств субвенции между муниципальными общеобразовательными организациями, имеющими лицензию на осуществление образовательной деятельности (далее - муниципальные общеобразовательные организации), осуществляется органами местного самоуправления муниципальных образований Пермского края исходя из нормативных затрат на оказание муниципальных услуг, утвержденных органом местного самоуправления муниципального образования, и фактической численности обучающихся на начало учебного года, определяемой на основании локального акта муниципальной общеобразовательной организации о зачислении (отчислении) обучающихся.</w:t>
      </w:r>
    </w:p>
    <w:p>
      <w:pPr>
        <w:pStyle w:val="0"/>
        <w:spacing w:before="200" w:line-rule="auto"/>
        <w:ind w:firstLine="540"/>
        <w:jc w:val="both"/>
      </w:pPr>
      <w:r>
        <w:rPr>
          <w:sz w:val="20"/>
        </w:rPr>
        <w:t xml:space="preserve">Нераспределенные объемы субвенции могут быть направлены органами местного самоуправления муниципальных образований Пермского края на предоставление дополнительного финансирования муниципальным общеобразовательным организациям, в которых расчетный объем финансового обеспечения образовательной деятельности выше размера расчетных показателей расходов бюджета, утвержденных нормативным правовым актом Правительства Пермского края, при условии их соответствия критерию, указанному (критериям, указанным) в </w:t>
      </w:r>
      <w:hyperlink w:history="0" w:anchor="P93" w:tooltip="2.7.1. малокомплектность.">
        <w:r>
          <w:rPr>
            <w:sz w:val="20"/>
            <w:color w:val="0000ff"/>
          </w:rPr>
          <w:t xml:space="preserve">пунктах 2.7.1</w:t>
        </w:r>
      </w:hyperlink>
      <w:r>
        <w:rPr>
          <w:sz w:val="20"/>
        </w:rPr>
        <w:t xml:space="preserve">, </w:t>
      </w:r>
      <w:hyperlink w:history="0" w:anchor="P95" w:tooltip="2.7.2. наличие инновационной образовательной программы, прошедшей научно-педагогическую экспертизу в соответствии с порядком, утвержденным приказом Министерства образования и науки Пермского края.">
        <w:r>
          <w:rPr>
            <w:sz w:val="20"/>
            <w:color w:val="0000ff"/>
          </w:rPr>
          <w:t xml:space="preserve">2.7.2</w:t>
        </w:r>
      </w:hyperlink>
      <w:r>
        <w:rPr>
          <w:sz w:val="20"/>
        </w:rPr>
        <w:t xml:space="preserve"> настоящего Порядка, и согласования таких объемов с Министерством образования и науки Пермского края.</w:t>
      </w:r>
    </w:p>
    <w:p>
      <w:pPr>
        <w:pStyle w:val="0"/>
        <w:spacing w:before="200" w:line-rule="auto"/>
        <w:ind w:firstLine="540"/>
        <w:jc w:val="both"/>
      </w:pPr>
      <w:r>
        <w:rPr>
          <w:sz w:val="20"/>
        </w:rPr>
        <w:t xml:space="preserve">Финансовое обеспечение расходов, связанных с предоставлением образования обучающимся, находящимся на длительном стационарном лечении в больницах и санаториях, а также проходящим реабилитацию в социальных приютах Пермского края, осуществляется за счет нераспределенного объема субвенции того органа местного самоуправления муниципальных образований Пермского края, на территории которого предоставляется образование. Норматив стоимости образовательной услуги в день утверждается нормативным актом муниципального образования Пермского края.</w:t>
      </w:r>
    </w:p>
    <w:p>
      <w:pPr>
        <w:pStyle w:val="0"/>
        <w:spacing w:before="200" w:line-rule="auto"/>
        <w:ind w:firstLine="540"/>
        <w:jc w:val="both"/>
      </w:pPr>
      <w:r>
        <w:rPr>
          <w:sz w:val="20"/>
        </w:rPr>
        <w:t xml:space="preserve">2.5. Объем дополнительного финансирования муниципальных общеобразовательных организаций на обеспечение стимулирования педагогических работников по результатам обучения школьников распределяется в порядке, установленном Правительством Пермского края.</w:t>
      </w:r>
    </w:p>
    <w:p>
      <w:pPr>
        <w:pStyle w:val="0"/>
        <w:spacing w:before="200" w:line-rule="auto"/>
        <w:ind w:firstLine="540"/>
        <w:jc w:val="both"/>
      </w:pPr>
      <w:r>
        <w:rPr>
          <w:sz w:val="20"/>
        </w:rPr>
        <w:t xml:space="preserve">2.6. Объем дополнительного финансирования муниципальных общеобразовательных организаций на обеспечение выплаты 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распределяется в порядке, установленном Правительством Пермского края.</w:t>
      </w:r>
    </w:p>
    <w:p>
      <w:pPr>
        <w:pStyle w:val="0"/>
        <w:spacing w:before="200" w:line-rule="auto"/>
        <w:ind w:firstLine="540"/>
        <w:jc w:val="both"/>
      </w:pPr>
      <w:r>
        <w:rPr>
          <w:sz w:val="20"/>
        </w:rPr>
        <w:t xml:space="preserve">2.7. Объем дополнительного финансирования муниципальных общеобразовательных организаций, в которых расчетный объем финансового обеспечения образовательной деятельности выше размера расчетных показателей расходов бюджета, утвержденных нормативным правовым актом, распределяется не позднее 20 декабря текущего года постановлением Правительства Пермского края на текущий и очередной финансовый год.</w:t>
      </w:r>
    </w:p>
    <w:p>
      <w:pPr>
        <w:pStyle w:val="0"/>
        <w:spacing w:before="200" w:line-rule="auto"/>
        <w:ind w:firstLine="540"/>
        <w:jc w:val="both"/>
      </w:pPr>
      <w:r>
        <w:rPr>
          <w:sz w:val="20"/>
        </w:rPr>
        <w:t xml:space="preserve">Отбор муниципальных общеобразовательных организаций, в которых расчетный объем финансового обеспечения образовательной деятельности выше размера расчетных показателей расходов бюджета, утвержденных нормативным правовым актом Правительства Пермского края, для дополнительного финансирования осуществляется при их соответствии одному из следующих критериев:</w:t>
      </w:r>
    </w:p>
    <w:bookmarkStart w:id="93" w:name="P93"/>
    <w:bookmarkEnd w:id="93"/>
    <w:p>
      <w:pPr>
        <w:pStyle w:val="0"/>
        <w:spacing w:before="200" w:line-rule="auto"/>
        <w:ind w:firstLine="540"/>
        <w:jc w:val="both"/>
      </w:pPr>
      <w:r>
        <w:rPr>
          <w:sz w:val="20"/>
        </w:rPr>
        <w:t xml:space="preserve">2.7.1. малокомплектность.</w:t>
      </w:r>
    </w:p>
    <w:p>
      <w:pPr>
        <w:pStyle w:val="0"/>
        <w:spacing w:before="200" w:line-rule="auto"/>
        <w:ind w:firstLine="540"/>
        <w:jc w:val="both"/>
      </w:pPr>
      <w:r>
        <w:rPr>
          <w:sz w:val="20"/>
        </w:rPr>
        <w:t xml:space="preserve">К малокомплектным относятся муниципальные общеобразовательные организации с учетом их удаленности от иных муниципальных общеобразовательных организаций, транспортной доступности и (или) численности обучающихся и воспитанников в соответствии с критериями, утвержденными приказом Министерства образования и науки Пермского края;</w:t>
      </w:r>
    </w:p>
    <w:bookmarkStart w:id="95" w:name="P95"/>
    <w:bookmarkEnd w:id="95"/>
    <w:p>
      <w:pPr>
        <w:pStyle w:val="0"/>
        <w:spacing w:before="200" w:line-rule="auto"/>
        <w:ind w:firstLine="540"/>
        <w:jc w:val="both"/>
      </w:pPr>
      <w:r>
        <w:rPr>
          <w:sz w:val="20"/>
        </w:rPr>
        <w:t xml:space="preserve">2.7.2. наличие инновационной образовательной программы, прошедшей научно-педагогическую экспертизу в соответствии с порядком, утвержденным приказом Министерства образования и науки Пермского края.</w:t>
      </w:r>
    </w:p>
    <w:bookmarkStart w:id="96" w:name="P96"/>
    <w:bookmarkEnd w:id="96"/>
    <w:p>
      <w:pPr>
        <w:pStyle w:val="0"/>
        <w:spacing w:before="200" w:line-rule="auto"/>
        <w:ind w:firstLine="540"/>
        <w:jc w:val="both"/>
      </w:pPr>
      <w:r>
        <w:rPr>
          <w:sz w:val="20"/>
        </w:rPr>
        <w:t xml:space="preserve">Для получения дополнительного финансирования по критерию "Наличие инновационной образовательной программы, прошедшей научно-педагогическую экспертизу" муниципальные общеобразовательные организации представляют в Министерство образования и науки Пермского края </w:t>
      </w:r>
      <w:hyperlink w:history="0" w:anchor="P332" w:tooltip="ЗАЯВКА">
        <w:r>
          <w:rPr>
            <w:sz w:val="20"/>
            <w:color w:val="0000ff"/>
          </w:rPr>
          <w:t xml:space="preserve">заявку</w:t>
        </w:r>
      </w:hyperlink>
      <w:r>
        <w:rPr>
          <w:sz w:val="20"/>
        </w:rPr>
        <w:t xml:space="preserve"> на включение в перечень общеобразовательных организаций, подлежащих дополнительному финансированию за счет средств бюджета Пермского края по критерию "Наличие инновационной образовательной программы, прошедшей научно-педагогическую экспертизу", по форме согласно приложению 4 к настоящему Порядку, согласованную с уполномоченным органом в сфере образования муниципального образования, и следующие документы:</w:t>
      </w:r>
    </w:p>
    <w:p>
      <w:pPr>
        <w:pStyle w:val="0"/>
        <w:spacing w:before="200" w:line-rule="auto"/>
        <w:ind w:firstLine="540"/>
        <w:jc w:val="both"/>
      </w:pPr>
      <w:r>
        <w:rPr>
          <w:sz w:val="20"/>
        </w:rPr>
        <w:t xml:space="preserve">образовательную программу, отражающую специфику инновационной деятельности муниципальной общеобразовательной организации;</w:t>
      </w:r>
    </w:p>
    <w:p>
      <w:pPr>
        <w:pStyle w:val="0"/>
        <w:spacing w:before="200" w:line-rule="auto"/>
        <w:ind w:firstLine="540"/>
        <w:jc w:val="both"/>
      </w:pPr>
      <w:r>
        <w:rPr>
          <w:sz w:val="20"/>
        </w:rPr>
        <w:t xml:space="preserve">финансово-экономическое обоснование с приложением копий штатного расписания, тарификационного списка, распределения часов учебного плана, расчета стоимости 1 ученико-часа.</w:t>
      </w:r>
    </w:p>
    <w:p>
      <w:pPr>
        <w:pStyle w:val="0"/>
        <w:spacing w:before="200" w:line-rule="auto"/>
        <w:ind w:firstLine="540"/>
        <w:jc w:val="both"/>
      </w:pPr>
      <w:r>
        <w:rPr>
          <w:sz w:val="20"/>
        </w:rPr>
        <w:t xml:space="preserve">Экспертная комиссия, состав которой утверждается приказом Министерства образования и науки Пермского края, в течение 30 календарных дней после получения заявок, указанных в </w:t>
      </w:r>
      <w:hyperlink w:history="0" w:anchor="P96" w:tooltip="Для получения дополнительного финансирования по критерию &quot;Наличие инновационной образовательной программы, прошедшей научно-педагогическую экспертизу&quot; муниципальные общеобразовательные организации представляют в Министерство образования и науки Пермского края заявку на включение в перечень общеобразовательных организаций, подлежащих дополнительному финансированию за счет средств бюджета Пермского края по критерию &quot;Наличие инновационной образовательной программы, прошедшей научно-педагогическую экспертизу...">
        <w:r>
          <w:rPr>
            <w:sz w:val="20"/>
            <w:color w:val="0000ff"/>
          </w:rPr>
          <w:t xml:space="preserve">абзаце втором</w:t>
        </w:r>
      </w:hyperlink>
      <w:r>
        <w:rPr>
          <w:sz w:val="20"/>
        </w:rPr>
        <w:t xml:space="preserve"> настоящего пункта, осуществляет проверку соответствия критерию, указанному в </w:t>
      </w:r>
      <w:hyperlink w:history="0" w:anchor="P95" w:tooltip="2.7.2. наличие инновационной образовательной программы, прошедшей научно-педагогическую экспертизу в соответствии с порядком, утвержденным приказом Министерства образования и науки Пермского края.">
        <w:r>
          <w:rPr>
            <w:sz w:val="20"/>
            <w:color w:val="0000ff"/>
          </w:rPr>
          <w:t xml:space="preserve">абзаце первом</w:t>
        </w:r>
      </w:hyperlink>
      <w:r>
        <w:rPr>
          <w:sz w:val="20"/>
        </w:rPr>
        <w:t xml:space="preserve"> настоящего пункта, обоснованности заявленного объема дополнительного финансирования, выполнения мероприятий, предусмотренных представленной образовательной программой, прошедшей научно-педагогическую экспертизу, и принимает решение о соответствии (несоответствии) критерию, указанному в </w:t>
      </w:r>
      <w:hyperlink w:history="0" w:anchor="P95" w:tooltip="2.7.2. наличие инновационной образовательной программы, прошедшей научно-педагогическую экспертизу в соответствии с порядком, утвержденным приказом Министерства образования и науки Пермского края.">
        <w:r>
          <w:rPr>
            <w:sz w:val="20"/>
            <w:color w:val="0000ff"/>
          </w:rPr>
          <w:t xml:space="preserve">абзаце первом</w:t>
        </w:r>
      </w:hyperlink>
      <w:r>
        <w:rPr>
          <w:sz w:val="20"/>
        </w:rPr>
        <w:t xml:space="preserve"> настоящего пункта.</w:t>
      </w:r>
    </w:p>
    <w:p>
      <w:pPr>
        <w:pStyle w:val="0"/>
        <w:spacing w:before="200" w:line-rule="auto"/>
        <w:ind w:firstLine="540"/>
        <w:jc w:val="both"/>
      </w:pPr>
      <w:r>
        <w:rPr>
          <w:sz w:val="20"/>
        </w:rPr>
        <w:t xml:space="preserve">2.8. Объем дополнительного финансирования муниципальных общеобразовательных организаций, прошедших процедуру реорганизации (слияния, присоединения), на приобретение и модернизацию объектов, используемых в образовательном и воспитательном процессах, распределяется ежегодно, не позднее 01 ноября, постановлением Правительства Пермского края на текущий финансовый год.</w:t>
      </w:r>
    </w:p>
    <w:p>
      <w:pPr>
        <w:pStyle w:val="0"/>
        <w:spacing w:before="200" w:line-rule="auto"/>
        <w:ind w:firstLine="540"/>
        <w:jc w:val="both"/>
      </w:pPr>
      <w:r>
        <w:rPr>
          <w:sz w:val="20"/>
        </w:rPr>
        <w:t xml:space="preserve">Отбор общеобразовательных организаций, прошедших процедуру реорганизации (слияния, присоединения), для предоставления дополнительного финансирования на приобретение и модернизацию объектов, используемых в образовательном и воспитательном процессах, осуществляется в следующем порядке:</w:t>
      </w:r>
    </w:p>
    <w:p>
      <w:pPr>
        <w:pStyle w:val="0"/>
        <w:spacing w:before="200" w:line-rule="auto"/>
        <w:ind w:firstLine="540"/>
        <w:jc w:val="both"/>
      </w:pPr>
      <w:r>
        <w:rPr>
          <w:sz w:val="20"/>
        </w:rPr>
        <w:t xml:space="preserve">2.8.1. Министерство образования и науки Пермского края в срок до 01 октября текущего финансового года запрашивает у муниципальных образований Пермского края информацию о муниципальных общеобразовательных организациях, прошедших процедуру реорганизации (слияния, присоединения) в текущем финансовом году и предшествующем текущему финансовом году;</w:t>
      </w:r>
    </w:p>
    <w:p>
      <w:pPr>
        <w:pStyle w:val="0"/>
        <w:spacing w:before="200" w:line-rule="auto"/>
        <w:ind w:firstLine="540"/>
        <w:jc w:val="both"/>
      </w:pPr>
      <w:r>
        <w:rPr>
          <w:sz w:val="20"/>
        </w:rPr>
        <w:t xml:space="preserve">2.8.2. дополнительное финансирование на приобретение и модернизацию объектов, используемых в образовательном и воспитательном процессах, распределяется между муниципальными общеобразовательными организациями, к которым присоединены реорганизуемые муниципальные общеобразовательные организации.</w:t>
      </w:r>
    </w:p>
    <w:p>
      <w:pPr>
        <w:pStyle w:val="0"/>
        <w:spacing w:before="200" w:line-rule="auto"/>
        <w:ind w:firstLine="540"/>
        <w:jc w:val="both"/>
      </w:pPr>
      <w:r>
        <w:rPr>
          <w:sz w:val="20"/>
        </w:rPr>
        <w:t xml:space="preserve">Для расчета объема дополнительного финансирования на приобретение и модернизацию объектов, используемых в образовательном и воспитательном процессах, учитывается среднегодовой контингент учащихся (воспитанников) реорганизованных муниципальных общеобразовательных организаций в соответствии с локальными актами о зачислении (отчислении) учащихся (воспитанников).</w:t>
      </w:r>
    </w:p>
    <w:p>
      <w:pPr>
        <w:pStyle w:val="0"/>
        <w:spacing w:before="200" w:line-rule="auto"/>
        <w:ind w:firstLine="540"/>
        <w:jc w:val="both"/>
      </w:pPr>
      <w:r>
        <w:rPr>
          <w:sz w:val="20"/>
        </w:rPr>
        <w:t xml:space="preserve">Расчет объема дополнительного финансирования на приобретение и модернизацию объектов, используемых в образовательном и воспитательном процессах, осуществляется Министерством образования и науки Пермского края по следующей формуле:</w:t>
      </w:r>
    </w:p>
    <w:p>
      <w:pPr>
        <w:pStyle w:val="0"/>
        <w:jc w:val="both"/>
      </w:pPr>
      <w:r>
        <w:rPr>
          <w:sz w:val="20"/>
        </w:rPr>
      </w:r>
    </w:p>
    <w:p>
      <w:pPr>
        <w:pStyle w:val="0"/>
        <w:jc w:val="center"/>
      </w:pPr>
      <w:r>
        <w:rPr>
          <w:position w:val="-10"/>
        </w:rPr>
        <w:drawing>
          <wp:inline distT="0" distB="0" distL="0" distR="0">
            <wp:extent cx="15525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8">
                      <a:extLst>
                        <a:ext uri="{28A0092B-C50C-407E-A947-70E740481C1C}">
                          <a14:useLocalDpi xmlns:a14="http://schemas.microsoft.com/office/drawing/2010/main" val="0"/>
                        </a:ext>
                      </a:extLst>
                    </a:blip>
                    <a:srcRect/>
                    <a:stretch>
                      <a:fillRect/>
                    </a:stretch>
                  </pic:blipFill>
                  <pic:spPr bwMode="auto">
                    <a:xfrm>
                      <a:off x="0" y="0"/>
                      <a:ext cx="155257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общ</w:t>
      </w:r>
      <w:r>
        <w:rPr>
          <w:sz w:val="20"/>
        </w:rPr>
        <w:t xml:space="preserve"> - общий объем дополнительного финансирования муниципальных образований Пермского края, рублей;</w:t>
      </w:r>
    </w:p>
    <w:p>
      <w:pPr>
        <w:pStyle w:val="0"/>
        <w:spacing w:before="200" w:line-rule="auto"/>
        <w:ind w:firstLine="540"/>
        <w:jc w:val="both"/>
      </w:pPr>
      <w:r>
        <w:rPr>
          <w:sz w:val="20"/>
        </w:rPr>
        <w:t xml:space="preserve">N</w:t>
      </w:r>
      <w:r>
        <w:rPr>
          <w:sz w:val="20"/>
          <w:vertAlign w:val="subscript"/>
        </w:rPr>
        <w:t xml:space="preserve">об</w:t>
      </w:r>
      <w:r>
        <w:rPr>
          <w:sz w:val="20"/>
        </w:rPr>
        <w:t xml:space="preserve"> - норматив на приобретение и модернизацию объектов, используемых в образовательном и воспитательном процессах, утвержденный приказом Министерства образования и науки Пермского края, рублей;</w:t>
      </w:r>
    </w:p>
    <w:p>
      <w:pPr>
        <w:pStyle w:val="0"/>
        <w:spacing w:before="200" w:line-rule="auto"/>
        <w:ind w:firstLine="540"/>
        <w:jc w:val="both"/>
      </w:pPr>
      <w:r>
        <w:rPr>
          <w:sz w:val="20"/>
        </w:rPr>
        <w:t xml:space="preserve">Ч</w:t>
      </w:r>
      <w:r>
        <w:rPr>
          <w:sz w:val="20"/>
          <w:vertAlign w:val="subscript"/>
        </w:rPr>
        <w:t xml:space="preserve">общ</w:t>
      </w:r>
      <w:r>
        <w:rPr>
          <w:sz w:val="20"/>
        </w:rPr>
        <w:t xml:space="preserve"> i - численность воспитанников в реорганизованных общеобразовательных организациях по i-му муниципальному образованию Пермского края, человек;</w:t>
      </w:r>
    </w:p>
    <w:p>
      <w:pPr>
        <w:pStyle w:val="0"/>
        <w:spacing w:before="200" w:line-rule="auto"/>
        <w:ind w:firstLine="540"/>
        <w:jc w:val="both"/>
      </w:pPr>
      <w:r>
        <w:rPr>
          <w:sz w:val="20"/>
        </w:rPr>
        <w:t xml:space="preserve">2.8.3. средства дополнительного финансирования направляются на развитие материально-технической базы муниципальной общеобразовательной организации, на приобретение и модернизацию объектов, используемых в образовательном и воспитательном процессах, по следующим направлениям:</w:t>
      </w:r>
    </w:p>
    <w:p>
      <w:pPr>
        <w:pStyle w:val="0"/>
        <w:spacing w:before="200" w:line-rule="auto"/>
        <w:ind w:firstLine="540"/>
        <w:jc w:val="both"/>
      </w:pPr>
      <w:r>
        <w:rPr>
          <w:sz w:val="20"/>
        </w:rPr>
        <w:t xml:space="preserve">приобретение компьютерной техники;</w:t>
      </w:r>
    </w:p>
    <w:p>
      <w:pPr>
        <w:pStyle w:val="0"/>
        <w:spacing w:before="200" w:line-rule="auto"/>
        <w:ind w:firstLine="540"/>
        <w:jc w:val="both"/>
      </w:pPr>
      <w:r>
        <w:rPr>
          <w:sz w:val="20"/>
        </w:rPr>
        <w:t xml:space="preserve">приобретение лабораторного оборудования;</w:t>
      </w:r>
    </w:p>
    <w:p>
      <w:pPr>
        <w:pStyle w:val="0"/>
        <w:spacing w:before="200" w:line-rule="auto"/>
        <w:ind w:firstLine="540"/>
        <w:jc w:val="both"/>
      </w:pPr>
      <w:r>
        <w:rPr>
          <w:sz w:val="20"/>
        </w:rPr>
        <w:t xml:space="preserve">приобретение робототехники.</w:t>
      </w:r>
    </w:p>
    <w:p>
      <w:pPr>
        <w:pStyle w:val="0"/>
        <w:spacing w:before="200" w:line-rule="auto"/>
        <w:ind w:firstLine="540"/>
        <w:jc w:val="both"/>
      </w:pPr>
      <w:r>
        <w:rPr>
          <w:sz w:val="20"/>
        </w:rPr>
        <w:t xml:space="preserve">2.9. Расчет объема дополнительного финансирования по каждому i-му муниципальному образованию (V</w:t>
      </w:r>
      <w:r>
        <w:rPr>
          <w:sz w:val="20"/>
          <w:vertAlign w:val="subscript"/>
        </w:rPr>
        <w:t xml:space="preserve">i</w:t>
      </w:r>
      <w:r>
        <w:rPr>
          <w:sz w:val="20"/>
        </w:rPr>
        <w:t xml:space="preserve">) осуществляется Министерством образования и науки Пермского края по следующей формуле:</w:t>
      </w:r>
    </w:p>
    <w:p>
      <w:pPr>
        <w:pStyle w:val="0"/>
        <w:jc w:val="both"/>
      </w:pPr>
      <w:r>
        <w:rPr>
          <w:sz w:val="20"/>
        </w:rPr>
      </w:r>
    </w:p>
    <w:p>
      <w:pPr>
        <w:pStyle w:val="0"/>
        <w:jc w:val="center"/>
      </w:pPr>
      <w:r>
        <w:rPr>
          <w:sz w:val="20"/>
        </w:rPr>
        <w:t xml:space="preserve">V</w:t>
      </w:r>
      <w:r>
        <w:rPr>
          <w:sz w:val="20"/>
          <w:vertAlign w:val="subscript"/>
        </w:rPr>
        <w:t xml:space="preserve">i</w:t>
      </w:r>
      <w:r>
        <w:rPr>
          <w:sz w:val="20"/>
        </w:rPr>
        <w:t xml:space="preserve"> = V</w:t>
      </w:r>
      <w:r>
        <w:rPr>
          <w:sz w:val="20"/>
          <w:vertAlign w:val="subscript"/>
        </w:rPr>
        <w:t xml:space="preserve">деф</w:t>
      </w:r>
      <w:r>
        <w:rPr>
          <w:sz w:val="20"/>
        </w:rPr>
        <w:t xml:space="preserve"> x С</w:t>
      </w:r>
      <w:r>
        <w:rPr>
          <w:sz w:val="20"/>
          <w:vertAlign w:val="subscript"/>
        </w:rPr>
        <w:t xml:space="preserve">ч</w:t>
      </w:r>
      <w:r>
        <w:rPr>
          <w:sz w:val="20"/>
        </w:rPr>
        <w:t xml:space="preserve"> x 12 x 1,302,</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деф</w:t>
      </w:r>
      <w:r>
        <w:rPr>
          <w:sz w:val="20"/>
        </w:rPr>
        <w:t xml:space="preserve"> - разница между фактически достигнутой средней заработной платой педагогических работников согласно информации Региональной системы мониторинга комплексного развития Пермского края по форме "ЗП-образование" по состоянию на 01 ноября 2022 года (далее - отчет) и размером целевого показателя, предусмотренного для i-го муниципального образования, установленного соглашением "Об исполнении перечня поручений по реализации Послания Президента Российской Федерации Федеральному Собранию Российской Федерации от 20 февраля 2019 г. N Пр-294, Указа Президента Российской Федерации от 07 мая 2012 г. N 597 "О мероприятиях по реализации государственной социальной политики", Указа Президента Российской Федерации от 01 июня 2012 г. N 761 "О национальной стратегии действий в интересах детей на 2012-2017 годы";</w:t>
      </w:r>
    </w:p>
    <w:p>
      <w:pPr>
        <w:pStyle w:val="0"/>
        <w:spacing w:before="200" w:line-rule="auto"/>
        <w:ind w:firstLine="540"/>
        <w:jc w:val="both"/>
      </w:pPr>
      <w:r>
        <w:rPr>
          <w:sz w:val="20"/>
        </w:rPr>
        <w:t xml:space="preserve">С</w:t>
      </w:r>
      <w:r>
        <w:rPr>
          <w:sz w:val="20"/>
          <w:vertAlign w:val="subscript"/>
        </w:rPr>
        <w:t xml:space="preserve">ч</w:t>
      </w:r>
      <w:r>
        <w:rPr>
          <w:sz w:val="20"/>
        </w:rPr>
        <w:t xml:space="preserve"> - среднесписочная численность педагогических работников по данным отчета.</w:t>
      </w:r>
    </w:p>
    <w:p>
      <w:pPr>
        <w:pStyle w:val="0"/>
        <w:spacing w:before="200" w:line-rule="auto"/>
        <w:ind w:firstLine="540"/>
        <w:jc w:val="both"/>
      </w:pPr>
      <w:r>
        <w:rPr>
          <w:sz w:val="20"/>
        </w:rPr>
        <w:t xml:space="preserve">Средства дополнительного финансирования направляются на оплату труда педагогических работников в текущем финансовом году.</w:t>
      </w:r>
    </w:p>
    <w:p>
      <w:pPr>
        <w:pStyle w:val="0"/>
        <w:spacing w:before="200" w:line-rule="auto"/>
        <w:ind w:firstLine="540"/>
        <w:jc w:val="both"/>
      </w:pPr>
      <w:r>
        <w:rPr>
          <w:sz w:val="20"/>
        </w:rPr>
        <w:t xml:space="preserve">Объем дополнительного финансирования распределяется постановлением Правительства Пермского края на текущий финансовый год.</w:t>
      </w:r>
    </w:p>
    <w:p>
      <w:pPr>
        <w:pStyle w:val="0"/>
        <w:ind w:firstLine="540"/>
        <w:jc w:val="both"/>
      </w:pPr>
      <w:r>
        <w:rPr>
          <w:sz w:val="20"/>
        </w:rPr>
      </w:r>
    </w:p>
    <w:p>
      <w:pPr>
        <w:pStyle w:val="2"/>
        <w:outlineLvl w:val="1"/>
        <w:jc w:val="center"/>
      </w:pPr>
      <w:r>
        <w:rPr>
          <w:sz w:val="20"/>
        </w:rPr>
        <w:t xml:space="preserve">III. Порядок расходования и учета субвенции</w:t>
      </w:r>
    </w:p>
    <w:p>
      <w:pPr>
        <w:pStyle w:val="0"/>
        <w:jc w:val="both"/>
      </w:pPr>
      <w:r>
        <w:rPr>
          <w:sz w:val="20"/>
        </w:rPr>
      </w:r>
    </w:p>
    <w:p>
      <w:pPr>
        <w:pStyle w:val="0"/>
        <w:ind w:firstLine="540"/>
        <w:jc w:val="both"/>
      </w:pPr>
      <w:r>
        <w:rPr>
          <w:sz w:val="20"/>
        </w:rPr>
        <w:t xml:space="preserve">3.1. Расходование средств субвенции осуществляется муниципальными образованиями Пермского края в соответствии с бюджетным законодательством. Субвенция носит целевой характер и не может быть использована на другие цели.</w:t>
      </w:r>
    </w:p>
    <w:p>
      <w:pPr>
        <w:pStyle w:val="0"/>
        <w:jc w:val="both"/>
      </w:pPr>
      <w:r>
        <w:rPr>
          <w:sz w:val="20"/>
        </w:rPr>
        <w:t xml:space="preserve">(в ред. Постановлений Правительства Пермского края от 18.09.2019 </w:t>
      </w:r>
      <w:hyperlink w:history="0" r:id="rId69"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70"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3.2. Средства субвенции передаются муниципальными образованиями Пермского края:</w:t>
      </w:r>
    </w:p>
    <w:p>
      <w:pPr>
        <w:pStyle w:val="0"/>
        <w:jc w:val="both"/>
      </w:pPr>
      <w:r>
        <w:rPr>
          <w:sz w:val="20"/>
        </w:rPr>
        <w:t xml:space="preserve">(в ред. Постановлений Правительства Пермского края от 18.09.2019 </w:t>
      </w:r>
      <w:hyperlink w:history="0" r:id="rId71"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72"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в виде субсидий муниципальным общеобразовательным организациям, являющимся бюджетными и автономными учреждениями, на обеспечение выполнения ими муниципального задания;</w:t>
      </w:r>
    </w:p>
    <w:p>
      <w:pPr>
        <w:pStyle w:val="0"/>
        <w:spacing w:before="200" w:line-rule="auto"/>
        <w:ind w:firstLine="540"/>
        <w:jc w:val="both"/>
      </w:pPr>
      <w:r>
        <w:rPr>
          <w:sz w:val="20"/>
        </w:rPr>
        <w:t xml:space="preserve">в виде бюджетных ассигнований муниципальным общеобразовательным организациям, являющимся казенными учреждениями, на оказание муниципальных услуг, выполнение работ и (или) исполнение муниципальных функций в целях обеспечения реализации предусмотренных законодательством Российской Федерации полномочий органов государственной власти (государственных органов) или органов местного самоуправления, финансовое обеспечение деятельности которых осуществляется за счет средств соответствующего бюджета на основании бюджетной сметы;</w:t>
      </w:r>
    </w:p>
    <w:p>
      <w:pPr>
        <w:pStyle w:val="0"/>
        <w:jc w:val="both"/>
      </w:pPr>
      <w:r>
        <w:rPr>
          <w:sz w:val="20"/>
        </w:rPr>
        <w:t xml:space="preserve">(в ред. </w:t>
      </w:r>
      <w:hyperlink w:history="0" r:id="rId73"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28.12.2022 N 1164-п)</w:t>
      </w:r>
    </w:p>
    <w:p>
      <w:pPr>
        <w:pStyle w:val="0"/>
        <w:spacing w:before="200" w:line-rule="auto"/>
        <w:ind w:firstLine="540"/>
        <w:jc w:val="both"/>
      </w:pPr>
      <w:r>
        <w:rPr>
          <w:sz w:val="20"/>
        </w:rPr>
        <w:t xml:space="preserve">в виде субсидий на иные цели муниципальным общеобразовательным организациям на обеспечение расходов, связанных с предоставлением компенсации части затрат родителям (законным представителям) по воспитанию и обучению на дому детей-инвалидов дошкольного возраста, которые по состоянию здоровья временно или постоянно не могут посещать образовательные организации, реализующие основные образовательные программы дошкольного образования.</w:t>
      </w:r>
    </w:p>
    <w:p>
      <w:pPr>
        <w:pStyle w:val="0"/>
        <w:jc w:val="both"/>
      </w:pPr>
      <w:r>
        <w:rPr>
          <w:sz w:val="20"/>
        </w:rPr>
        <w:t xml:space="preserve">(абзац введен </w:t>
      </w:r>
      <w:hyperlink w:history="0" r:id="rId74"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rPr>
        <w:t xml:space="preserve"> Правительства Пермского края от 09.04.2020 N 194-п)</w:t>
      </w:r>
    </w:p>
    <w:p>
      <w:pPr>
        <w:pStyle w:val="0"/>
        <w:spacing w:before="200" w:line-rule="auto"/>
        <w:ind w:firstLine="540"/>
        <w:jc w:val="both"/>
      </w:pPr>
      <w:r>
        <w:rPr>
          <w:sz w:val="20"/>
        </w:rPr>
        <w:t xml:space="preserve">3.3. Субвенция расходуется по </w:t>
      </w:r>
      <w:hyperlink w:history="0" w:anchor="P214" w:tooltip="НАПРАВЛЕНИЯ">
        <w:r>
          <w:rPr>
            <w:sz w:val="20"/>
            <w:color w:val="0000ff"/>
          </w:rPr>
          <w:t xml:space="preserve">направлениям</w:t>
        </w:r>
      </w:hyperlink>
      <w:r>
        <w:rPr>
          <w:sz w:val="20"/>
        </w:rPr>
        <w:t xml:space="preserve"> расходования субвенции согласно приложению 1 к настоящему Порядку.</w:t>
      </w:r>
    </w:p>
    <w:p>
      <w:pPr>
        <w:pStyle w:val="0"/>
        <w:spacing w:before="200" w:line-rule="auto"/>
        <w:ind w:firstLine="540"/>
        <w:jc w:val="both"/>
      </w:pPr>
      <w:r>
        <w:rPr>
          <w:sz w:val="20"/>
        </w:rPr>
        <w:t xml:space="preserve">3.4. За счет субвенции финансируются:</w:t>
      </w:r>
    </w:p>
    <w:p>
      <w:pPr>
        <w:pStyle w:val="0"/>
        <w:spacing w:before="200" w:line-rule="auto"/>
        <w:ind w:firstLine="540"/>
        <w:jc w:val="both"/>
      </w:pPr>
      <w:r>
        <w:rPr>
          <w:sz w:val="20"/>
        </w:rPr>
        <w:t xml:space="preserve">муниципальные общеобразовательные организации, осуществляющие образовательную деятельность по программам начального общего, основного общего, среднего общего, а также дополнительного образования;</w:t>
      </w:r>
    </w:p>
    <w:p>
      <w:pPr>
        <w:pStyle w:val="0"/>
        <w:spacing w:before="200" w:line-rule="auto"/>
        <w:ind w:firstLine="540"/>
        <w:jc w:val="both"/>
      </w:pPr>
      <w:r>
        <w:rPr>
          <w:sz w:val="20"/>
        </w:rPr>
        <w:t xml:space="preserve">отдельные муниципальные общеобразовательные организации, осуществляющие образовательную деятельность по адаптированным основным общеобразовательным программам;</w:t>
      </w:r>
    </w:p>
    <w:p>
      <w:pPr>
        <w:pStyle w:val="0"/>
        <w:spacing w:before="200" w:line-rule="auto"/>
        <w:ind w:firstLine="540"/>
        <w:jc w:val="both"/>
      </w:pPr>
      <w:r>
        <w:rPr>
          <w:sz w:val="20"/>
        </w:rPr>
        <w:t xml:space="preserve">муниципальные общеобразовательные организации со специальным наименованием "специальные учебно-воспитательные учреждения";</w:t>
      </w:r>
    </w:p>
    <w:p>
      <w:pPr>
        <w:pStyle w:val="0"/>
        <w:jc w:val="both"/>
      </w:pPr>
      <w:r>
        <w:rPr>
          <w:sz w:val="20"/>
        </w:rPr>
        <w:t xml:space="preserve">(в ред. </w:t>
      </w:r>
      <w:hyperlink w:history="0" r:id="rId75" w:tooltip="Постановление Правительства Пермского края от 25.12.2018 N 862-п (ред. от 08.02.2023) &quot;О внесении изменений в отдельные постановления Правительства Пермского края в сфере образования и науки&quot; {КонсультантПлюс}">
        <w:r>
          <w:rPr>
            <w:sz w:val="20"/>
            <w:color w:val="0000ff"/>
          </w:rPr>
          <w:t xml:space="preserve">Постановления</w:t>
        </w:r>
      </w:hyperlink>
      <w:r>
        <w:rPr>
          <w:sz w:val="20"/>
        </w:rPr>
        <w:t xml:space="preserve"> Правительства Пермского края от 25.12.2018 N 862-п)</w:t>
      </w:r>
    </w:p>
    <w:p>
      <w:pPr>
        <w:pStyle w:val="0"/>
        <w:spacing w:before="200" w:line-rule="auto"/>
        <w:ind w:firstLine="540"/>
        <w:jc w:val="both"/>
      </w:pPr>
      <w:r>
        <w:rPr>
          <w:sz w:val="20"/>
        </w:rPr>
        <w:t xml:space="preserve">муниципальные санаторные общеобразовательные организации.</w:t>
      </w:r>
    </w:p>
    <w:p>
      <w:pPr>
        <w:pStyle w:val="0"/>
        <w:spacing w:before="200" w:line-rule="auto"/>
        <w:ind w:firstLine="540"/>
        <w:jc w:val="both"/>
      </w:pPr>
      <w:r>
        <w:rPr>
          <w:sz w:val="20"/>
        </w:rPr>
        <w:t xml:space="preserve">В объемах субсидии и бюджетных ассигнований учитываются:</w:t>
      </w:r>
    </w:p>
    <w:p>
      <w:pPr>
        <w:pStyle w:val="0"/>
        <w:spacing w:before="200" w:line-rule="auto"/>
        <w:ind w:firstLine="540"/>
        <w:jc w:val="both"/>
      </w:pPr>
      <w:r>
        <w:rPr>
          <w:sz w:val="20"/>
        </w:rPr>
        <w:t xml:space="preserve">расходы на реализацию образовательных программ дошкольного образования в структурных подразделениях муниципальных общеобразовательных организаций;</w:t>
      </w:r>
    </w:p>
    <w:p>
      <w:pPr>
        <w:pStyle w:val="0"/>
        <w:spacing w:before="200" w:line-rule="auto"/>
        <w:ind w:firstLine="540"/>
        <w:jc w:val="both"/>
      </w:pPr>
      <w:r>
        <w:rPr>
          <w:sz w:val="20"/>
        </w:rPr>
        <w:t xml:space="preserve">расходы по предоставлению компенсации части затрат родителям (законным представителям) по воспитанию и обучению на дому детей-инвалидов дошкольного возраста, которые по состоянию здоровья временно или постоянно не могут посещать муниципальные образовательные организации;</w:t>
      </w:r>
    </w:p>
    <w:p>
      <w:pPr>
        <w:pStyle w:val="0"/>
        <w:spacing w:before="200" w:line-rule="auto"/>
        <w:ind w:firstLine="540"/>
        <w:jc w:val="both"/>
      </w:pPr>
      <w:r>
        <w:rPr>
          <w:sz w:val="20"/>
        </w:rPr>
        <w:t xml:space="preserve">абзац утратил силу с 28.12.2022. - </w:t>
      </w:r>
      <w:hyperlink w:history="0" r:id="rId76"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w:t>
        </w:r>
      </w:hyperlink>
      <w:r>
        <w:rPr>
          <w:sz w:val="20"/>
        </w:rPr>
        <w:t xml:space="preserve"> Правительства Пермского края от 28.12.2022 N 1164-п.</w:t>
      </w:r>
    </w:p>
    <w:p>
      <w:pPr>
        <w:pStyle w:val="0"/>
        <w:spacing w:before="200" w:line-rule="auto"/>
        <w:ind w:firstLine="540"/>
        <w:jc w:val="both"/>
      </w:pPr>
      <w:r>
        <w:rPr>
          <w:sz w:val="20"/>
        </w:rPr>
        <w:t xml:space="preserve">3.5. Ежеквартально, не позднее 15 числа месяца, следующего за последним месяцем квартала, муниципальные образования Пермского края производят перераспределение доведенных бюджетных ассигнований между муниципальными образовательными организациями (за исключением образовательных организаций, в которых расчетный объем финансового обеспечения выше объема, рассчитанного исходя из размера расчетных показателей), внося изменения в объемы финансового обеспечения выполнения муниципального задания на оказание муниципальной услуги в соответствии с фактической численностью учащихся, получивших начальное общее, основное общее, среднее общее образование, а также дополнительное образование, и количеством дней посещения учащимися муниципальной образовательной организации (далее - дни посещения).</w:t>
      </w:r>
    </w:p>
    <w:p>
      <w:pPr>
        <w:pStyle w:val="0"/>
        <w:jc w:val="both"/>
      </w:pPr>
      <w:r>
        <w:rPr>
          <w:sz w:val="20"/>
        </w:rPr>
        <w:t xml:space="preserve">(в ред. Постановлений Правительства Пермского края от 18.09.2019 </w:t>
      </w:r>
      <w:hyperlink w:history="0" r:id="rId77"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25.11.2021 </w:t>
      </w:r>
      <w:hyperlink w:history="0" r:id="rId78"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913-п</w:t>
        </w:r>
      </w:hyperlink>
      <w:r>
        <w:rPr>
          <w:sz w:val="20"/>
        </w:rPr>
        <w:t xml:space="preserve">, от 28.12.2022 </w:t>
      </w:r>
      <w:hyperlink w:history="0" r:id="rId79"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Количество дней посещения в текущем году не может быть больше установленного количества рабочих дней на текущий год в соответствии с законодательством.</w:t>
      </w:r>
    </w:p>
    <w:p>
      <w:pPr>
        <w:pStyle w:val="0"/>
        <w:spacing w:before="200" w:line-rule="auto"/>
        <w:ind w:firstLine="540"/>
        <w:jc w:val="both"/>
      </w:pPr>
      <w:r>
        <w:rPr>
          <w:sz w:val="20"/>
        </w:rPr>
        <w:t xml:space="preserve">Днями посещения для муниципальных общеобразовательных организаций (за исключением образовательных организаций, в которых расчетный объем финансового обеспечения выше объема, рассчитанного исходя из размера расчетных показателей) в целях настоящего Порядка являются:</w:t>
      </w:r>
    </w:p>
    <w:p>
      <w:pPr>
        <w:pStyle w:val="0"/>
        <w:spacing w:before="200" w:line-rule="auto"/>
        <w:ind w:firstLine="540"/>
        <w:jc w:val="both"/>
      </w:pPr>
      <w:r>
        <w:rPr>
          <w:sz w:val="20"/>
        </w:rPr>
        <w:t xml:space="preserve">для общеобразовательных организаций:</w:t>
      </w:r>
    </w:p>
    <w:p>
      <w:pPr>
        <w:pStyle w:val="0"/>
        <w:spacing w:before="200" w:line-rule="auto"/>
        <w:ind w:firstLine="540"/>
        <w:jc w:val="both"/>
      </w:pPr>
      <w:r>
        <w:rPr>
          <w:sz w:val="20"/>
        </w:rPr>
        <w:t xml:space="preserve">дни фактического пребывания обучающегося в муниципальной общеобразовательной организации согласно документу, содержащему сведения о посещаемости, по форме, утвержденной приказом руководителя муниципальной общеобразовательной организации;</w:t>
      </w:r>
    </w:p>
    <w:p>
      <w:pPr>
        <w:pStyle w:val="0"/>
        <w:spacing w:before="200" w:line-rule="auto"/>
        <w:ind w:firstLine="540"/>
        <w:jc w:val="both"/>
      </w:pPr>
      <w:r>
        <w:rPr>
          <w:sz w:val="20"/>
        </w:rPr>
        <w:t xml:space="preserve">дни нахождения обучающегося на олимпиадах, соревнованиях, тренировочных сборах, конкурсах и т.п.;</w:t>
      </w:r>
    </w:p>
    <w:p>
      <w:pPr>
        <w:pStyle w:val="0"/>
        <w:spacing w:before="200" w:line-rule="auto"/>
        <w:ind w:firstLine="540"/>
        <w:jc w:val="both"/>
      </w:pPr>
      <w:r>
        <w:rPr>
          <w:sz w:val="20"/>
        </w:rPr>
        <w:t xml:space="preserve">дни каникул в соответствии с календарным учебным графиком, в том числе каникулярный период для выпускников 9-х и 11-х классов, завершающих обучение по основным общеобразовательным программам до 31 августа текущего года;</w:t>
      </w:r>
    </w:p>
    <w:p>
      <w:pPr>
        <w:pStyle w:val="0"/>
        <w:spacing w:before="200" w:line-rule="auto"/>
        <w:ind w:firstLine="540"/>
        <w:jc w:val="both"/>
      </w:pPr>
      <w:r>
        <w:rPr>
          <w:sz w:val="20"/>
        </w:rPr>
        <w:t xml:space="preserve">дни болезни обучающегося (до 21 календарного дня для одного случая) при наличии подтверждающих документов, выданных медицинской организацией;</w:t>
      </w:r>
    </w:p>
    <w:p>
      <w:pPr>
        <w:pStyle w:val="0"/>
        <w:spacing w:before="200" w:line-rule="auto"/>
        <w:ind w:firstLine="540"/>
        <w:jc w:val="both"/>
      </w:pPr>
      <w:r>
        <w:rPr>
          <w:sz w:val="20"/>
        </w:rPr>
        <w:t xml:space="preserve">дни временной приостановки деятельности муниципальной общеобразовательной организации в целях охраны здоровья учащихся в соответствии с приказом руководителя муниципальной общеобразовательной организации, а именно:</w:t>
      </w:r>
    </w:p>
    <w:p>
      <w:pPr>
        <w:pStyle w:val="0"/>
        <w:spacing w:before="200" w:line-rule="auto"/>
        <w:ind w:firstLine="540"/>
        <w:jc w:val="both"/>
      </w:pPr>
      <w:r>
        <w:rPr>
          <w:sz w:val="20"/>
        </w:rPr>
        <w:t xml:space="preserve">карантин;</w:t>
      </w:r>
    </w:p>
    <w:p>
      <w:pPr>
        <w:pStyle w:val="0"/>
        <w:spacing w:before="200" w:line-rule="auto"/>
        <w:ind w:firstLine="540"/>
        <w:jc w:val="both"/>
      </w:pPr>
      <w:r>
        <w:rPr>
          <w:sz w:val="20"/>
        </w:rPr>
        <w:t xml:space="preserve">санитарная обработка помещений (не более 3 календарных дней);</w:t>
      </w:r>
    </w:p>
    <w:p>
      <w:pPr>
        <w:pStyle w:val="0"/>
        <w:spacing w:before="200" w:line-rule="auto"/>
        <w:ind w:firstLine="540"/>
        <w:jc w:val="both"/>
      </w:pPr>
      <w:r>
        <w:rPr>
          <w:sz w:val="20"/>
        </w:rPr>
        <w:t xml:space="preserve">текущий ремонт (не более 30 календарных дней в течение года);</w:t>
      </w:r>
    </w:p>
    <w:p>
      <w:pPr>
        <w:pStyle w:val="0"/>
        <w:spacing w:before="200" w:line-rule="auto"/>
        <w:ind w:firstLine="540"/>
        <w:jc w:val="both"/>
      </w:pPr>
      <w:r>
        <w:rPr>
          <w:sz w:val="20"/>
        </w:rPr>
        <w:t xml:space="preserve">дни закрытия муниципальной общеобразовательной организации в связи с обстоятельствами, препятствующими предоставлению образовательной услуги (аварийная ситуация, отключение водоснабжения, электроэнергии и т.п.);</w:t>
      </w:r>
    </w:p>
    <w:p>
      <w:pPr>
        <w:pStyle w:val="0"/>
        <w:spacing w:before="200" w:line-rule="auto"/>
        <w:ind w:firstLine="540"/>
        <w:jc w:val="both"/>
      </w:pPr>
      <w:r>
        <w:rPr>
          <w:sz w:val="20"/>
        </w:rPr>
        <w:t xml:space="preserve">дни посещения муниципальной общеобразовательной организации обучающимися по очно-заочной и заочной формам обучения;</w:t>
      </w:r>
    </w:p>
    <w:p>
      <w:pPr>
        <w:pStyle w:val="0"/>
        <w:spacing w:before="200" w:line-rule="auto"/>
        <w:ind w:firstLine="540"/>
        <w:jc w:val="both"/>
      </w:pPr>
      <w:r>
        <w:rPr>
          <w:sz w:val="20"/>
        </w:rPr>
        <w:t xml:space="preserve">дни получения образовательной услуги в дистанционной форме;</w:t>
      </w:r>
    </w:p>
    <w:p>
      <w:pPr>
        <w:pStyle w:val="0"/>
        <w:jc w:val="both"/>
      </w:pPr>
      <w:r>
        <w:rPr>
          <w:sz w:val="20"/>
        </w:rPr>
        <w:t xml:space="preserve">(абзац введен </w:t>
      </w:r>
      <w:hyperlink w:history="0" r:id="rId80"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rPr>
        <w:t xml:space="preserve"> Правительства Пермского края от 09.04.2020 N 194-п)</w:t>
      </w:r>
    </w:p>
    <w:p>
      <w:pPr>
        <w:pStyle w:val="0"/>
        <w:spacing w:before="200" w:line-rule="auto"/>
        <w:ind w:firstLine="540"/>
        <w:jc w:val="both"/>
      </w:pPr>
      <w:r>
        <w:rPr>
          <w:sz w:val="20"/>
        </w:rPr>
        <w:t xml:space="preserve">дни получения образовательной услуги обучающимися, находящимися в исправительных учреждениях уголовно-исполнительной системы;</w:t>
      </w:r>
    </w:p>
    <w:p>
      <w:pPr>
        <w:pStyle w:val="0"/>
        <w:spacing w:before="200" w:line-rule="auto"/>
        <w:ind w:firstLine="540"/>
        <w:jc w:val="both"/>
      </w:pPr>
      <w:r>
        <w:rPr>
          <w:sz w:val="20"/>
        </w:rPr>
        <w:t xml:space="preserve">абзацы семнадцатый-двадцать шестой утратили силу. - </w:t>
      </w:r>
      <w:hyperlink w:history="0" r:id="rId81"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w:t>
        </w:r>
      </w:hyperlink>
      <w:r>
        <w:rPr>
          <w:sz w:val="20"/>
        </w:rPr>
        <w:t xml:space="preserve"> Правительства Пермского края от 25.11.2021 N 913-п;</w:t>
      </w:r>
    </w:p>
    <w:p>
      <w:pPr>
        <w:pStyle w:val="0"/>
        <w:spacing w:before="200" w:line-rule="auto"/>
        <w:ind w:firstLine="540"/>
        <w:jc w:val="both"/>
      </w:pPr>
      <w:r>
        <w:rPr>
          <w:sz w:val="20"/>
        </w:rPr>
        <w:t xml:space="preserve">дни закрытия структурного подразделения муниципальной общеобразовательной организации в связи с обстоятельствами, препятствующими предоставлению образовательной услуги (аварийная ситуация, отключение водоснабжения, электроэнергии и т.п.).</w:t>
      </w:r>
    </w:p>
    <w:p>
      <w:pPr>
        <w:pStyle w:val="0"/>
        <w:spacing w:before="200" w:line-rule="auto"/>
        <w:ind w:firstLine="540"/>
        <w:jc w:val="both"/>
      </w:pPr>
      <w:r>
        <w:rPr>
          <w:sz w:val="20"/>
        </w:rPr>
        <w:t xml:space="preserve">Днями посещения в целях настоящего Порядка не являются:</w:t>
      </w:r>
    </w:p>
    <w:p>
      <w:pPr>
        <w:pStyle w:val="0"/>
        <w:spacing w:before="200" w:line-rule="auto"/>
        <w:ind w:firstLine="540"/>
        <w:jc w:val="both"/>
      </w:pPr>
      <w:r>
        <w:rPr>
          <w:sz w:val="20"/>
        </w:rPr>
        <w:t xml:space="preserve">дни пребывания обучающегося в условиях стационара в социально-реабилитационных центрах для несовершеннолетних;</w:t>
      </w:r>
    </w:p>
    <w:p>
      <w:pPr>
        <w:pStyle w:val="0"/>
        <w:jc w:val="both"/>
      </w:pPr>
      <w:r>
        <w:rPr>
          <w:sz w:val="20"/>
        </w:rPr>
        <w:t xml:space="preserve">(в ред. </w:t>
      </w:r>
      <w:hyperlink w:history="0" r:id="rId82"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25.11.2021 N 913-п)</w:t>
      </w:r>
    </w:p>
    <w:p>
      <w:pPr>
        <w:pStyle w:val="0"/>
        <w:spacing w:before="200" w:line-rule="auto"/>
        <w:ind w:firstLine="540"/>
        <w:jc w:val="both"/>
      </w:pPr>
      <w:r>
        <w:rPr>
          <w:sz w:val="20"/>
        </w:rPr>
        <w:t xml:space="preserve">дни нахождения обучающегося на длительном стационарном лечении в больницах и санаториях;</w:t>
      </w:r>
    </w:p>
    <w:p>
      <w:pPr>
        <w:pStyle w:val="0"/>
        <w:jc w:val="both"/>
      </w:pPr>
      <w:r>
        <w:rPr>
          <w:sz w:val="20"/>
        </w:rPr>
        <w:t xml:space="preserve">(в ред. </w:t>
      </w:r>
      <w:hyperlink w:history="0" r:id="rId83" w:tooltip="Постановление Правительства Пермского края от 25.11.2021 N 913-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25.11.2021 N 913-п)</w:t>
      </w:r>
    </w:p>
    <w:p>
      <w:pPr>
        <w:pStyle w:val="0"/>
        <w:spacing w:before="200" w:line-rule="auto"/>
        <w:ind w:firstLine="540"/>
        <w:jc w:val="both"/>
      </w:pPr>
      <w:r>
        <w:rPr>
          <w:sz w:val="20"/>
        </w:rPr>
        <w:t xml:space="preserve">дни капитального ремонта.</w:t>
      </w:r>
    </w:p>
    <w:p>
      <w:pPr>
        <w:pStyle w:val="0"/>
        <w:spacing w:before="200" w:line-rule="auto"/>
        <w:ind w:firstLine="540"/>
        <w:jc w:val="both"/>
      </w:pPr>
      <w:r>
        <w:rPr>
          <w:sz w:val="20"/>
        </w:rPr>
        <w:t xml:space="preserve">3.6. Право на получение вознаграждения за выполнение функций классного руководителя в муниципальных общеобразовательных организациях имеют педагогические работники, на которых возложены дополнительные обязанности по организации воспитательной работы в конкретном классе, в том числе в классах для детей с задержкой психического и физического развития, организованных в общеобразовательных организациях.</w:t>
      </w:r>
    </w:p>
    <w:p>
      <w:pPr>
        <w:pStyle w:val="0"/>
        <w:spacing w:before="200" w:line-rule="auto"/>
        <w:ind w:firstLine="540"/>
        <w:jc w:val="both"/>
      </w:pPr>
      <w:r>
        <w:rPr>
          <w:sz w:val="20"/>
        </w:rPr>
        <w:t xml:space="preserve">Список педагогических работников, осуществляющих классное руководство, утверждается приказом муниципальной общеобразовательной организации ежегодно до 1 сентября текущего года.</w:t>
      </w:r>
    </w:p>
    <w:p>
      <w:pPr>
        <w:pStyle w:val="0"/>
        <w:spacing w:before="200" w:line-rule="auto"/>
        <w:ind w:firstLine="540"/>
        <w:jc w:val="both"/>
      </w:pPr>
      <w:r>
        <w:rPr>
          <w:sz w:val="20"/>
        </w:rPr>
        <w:t xml:space="preserve">Размеры вознаграждений педагогическим работникам за выполнение функций классного руководителя устанавливаются органами местного самоуправления муниципальных образований Пермского края.</w:t>
      </w:r>
    </w:p>
    <w:p>
      <w:pPr>
        <w:pStyle w:val="0"/>
        <w:jc w:val="both"/>
      </w:pPr>
      <w:r>
        <w:rPr>
          <w:sz w:val="20"/>
        </w:rPr>
        <w:t xml:space="preserve">(в ред. Постановлений Правительства Пермского края от 18.09.2019 </w:t>
      </w:r>
      <w:hyperlink w:history="0" r:id="rId84"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rPr>
        <w:t xml:space="preserve">, от 28.12.2022 </w:t>
      </w:r>
      <w:hyperlink w:history="0" r:id="rId85"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rPr>
        <w:t xml:space="preserve">)</w:t>
      </w:r>
    </w:p>
    <w:p>
      <w:pPr>
        <w:pStyle w:val="0"/>
        <w:spacing w:before="200" w:line-rule="auto"/>
        <w:ind w:firstLine="540"/>
        <w:jc w:val="both"/>
      </w:pPr>
      <w:r>
        <w:rPr>
          <w:sz w:val="20"/>
        </w:rPr>
        <w:t xml:space="preserve">Педагогические работники могут получать вознаграждение за классное руководство в двух классах (классах-комплектах в малокомплектных сельских муниципальных общеобразовательных организациях). Размер вознаграждения определяется отдельно за каждый класс (класс-комплект в малокомплектных сельских муниципальных общеобразовательных организациях).</w:t>
      </w:r>
    </w:p>
    <w:p>
      <w:pPr>
        <w:pStyle w:val="0"/>
        <w:jc w:val="both"/>
      </w:pPr>
      <w:r>
        <w:rPr>
          <w:sz w:val="20"/>
        </w:rPr>
        <w:t xml:space="preserve">(п. 3.6 введен </w:t>
      </w:r>
      <w:hyperlink w:history="0" r:id="rId86" w:tooltip="Постановление Правительства Пермского края от 31.10.2018 N 639-п (ред. от 09.04.2020)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КонсультантПлюс}">
        <w:r>
          <w:rPr>
            <w:sz w:val="20"/>
            <w:color w:val="0000ff"/>
          </w:rPr>
          <w:t xml:space="preserve">Постановлением</w:t>
        </w:r>
      </w:hyperlink>
      <w:r>
        <w:rPr>
          <w:sz w:val="20"/>
        </w:rPr>
        <w:t xml:space="preserve"> Правительства Пермского края от 31.10.2018 N 639-п)</w:t>
      </w:r>
    </w:p>
    <w:p>
      <w:pPr>
        <w:pStyle w:val="0"/>
        <w:spacing w:before="200" w:line-rule="auto"/>
        <w:ind w:firstLine="540"/>
        <w:jc w:val="both"/>
      </w:pPr>
      <w:r>
        <w:rPr>
          <w:sz w:val="20"/>
        </w:rPr>
        <w:t xml:space="preserve">3.7. Муниципальными образованиями Пермского края за счет средств субвенции финансируются муниципальные казенные учреждения, оказывающие услуги бухгалтерского учета, в объеме не более </w:t>
      </w:r>
      <w:hyperlink w:history="0" w:anchor="P483" w:tooltip="РАЗМЕРЫ">
        <w:r>
          <w:rPr>
            <w:sz w:val="20"/>
            <w:color w:val="0000ff"/>
          </w:rPr>
          <w:t xml:space="preserve">размера</w:t>
        </w:r>
      </w:hyperlink>
      <w:r>
        <w:rPr>
          <w:sz w:val="20"/>
        </w:rPr>
        <w:t xml:space="preserve"> норматива удельного веса расходов на выполнение бухгалтерской функции от общего объема субвенции, утвержденного законом Пермского края о бюджете Пермского края на текущий финансовый год и на плановый период, установленного приложением 5 к настоящему Порядку.</w:t>
      </w:r>
    </w:p>
    <w:p>
      <w:pPr>
        <w:pStyle w:val="0"/>
        <w:spacing w:before="200" w:line-rule="auto"/>
        <w:ind w:firstLine="540"/>
        <w:jc w:val="both"/>
      </w:pPr>
      <w:r>
        <w:rPr>
          <w:sz w:val="20"/>
        </w:rPr>
        <w:t xml:space="preserve">Методические рекомендации для расчета размера норматива удельного веса расходов на выполнение бухгалтерской функции в составе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 утверждаются Министерством образования и науки Пермского края.</w:t>
      </w:r>
    </w:p>
    <w:p>
      <w:pPr>
        <w:pStyle w:val="0"/>
        <w:jc w:val="both"/>
      </w:pPr>
      <w:r>
        <w:rPr>
          <w:sz w:val="20"/>
        </w:rPr>
        <w:t xml:space="preserve">(п. 3.7 введен </w:t>
      </w:r>
      <w:hyperlink w:history="0" r:id="rId87"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rPr>
        <w:t xml:space="preserve"> Правительства Пермского края от 10.05.2023 N 354-п)</w:t>
      </w:r>
    </w:p>
    <w:p>
      <w:pPr>
        <w:pStyle w:val="0"/>
        <w:jc w:val="both"/>
      </w:pPr>
      <w:r>
        <w:rPr>
          <w:sz w:val="20"/>
        </w:rPr>
      </w:r>
    </w:p>
    <w:p>
      <w:pPr>
        <w:pStyle w:val="2"/>
        <w:outlineLvl w:val="1"/>
        <w:jc w:val="center"/>
      </w:pPr>
      <w:r>
        <w:rPr>
          <w:sz w:val="20"/>
        </w:rPr>
        <w:t xml:space="preserve">IV. Порядок предоставления отчетности и контроль за целевым</w:t>
      </w:r>
    </w:p>
    <w:p>
      <w:pPr>
        <w:pStyle w:val="2"/>
        <w:jc w:val="center"/>
      </w:pPr>
      <w:r>
        <w:rPr>
          <w:sz w:val="20"/>
        </w:rPr>
        <w:t xml:space="preserve">использованием субвенции</w:t>
      </w:r>
    </w:p>
    <w:p>
      <w:pPr>
        <w:pStyle w:val="0"/>
        <w:jc w:val="center"/>
      </w:pPr>
      <w:r>
        <w:rPr>
          <w:sz w:val="20"/>
        </w:rPr>
        <w:t xml:space="preserve">(в ред. </w:t>
      </w:r>
      <w:hyperlink w:history="0" r:id="rId88"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w:t>
      </w:r>
    </w:p>
    <w:p>
      <w:pPr>
        <w:pStyle w:val="0"/>
        <w:jc w:val="center"/>
      </w:pPr>
      <w:r>
        <w:rPr>
          <w:sz w:val="20"/>
        </w:rPr>
        <w:t xml:space="preserve">от 18.09.2019 N 643-п)</w:t>
      </w:r>
    </w:p>
    <w:p>
      <w:pPr>
        <w:pStyle w:val="0"/>
        <w:jc w:val="both"/>
      </w:pPr>
      <w:r>
        <w:rPr>
          <w:sz w:val="20"/>
        </w:rPr>
      </w:r>
    </w:p>
    <w:p>
      <w:pPr>
        <w:pStyle w:val="0"/>
        <w:ind w:firstLine="540"/>
        <w:jc w:val="both"/>
      </w:pPr>
      <w:r>
        <w:rPr>
          <w:sz w:val="20"/>
        </w:rPr>
        <w:t xml:space="preserve">Органы управления образованием муниципальных образований Пермского края ежеквартально представляют в Министерство образования и науки Пермского края </w:t>
      </w:r>
      <w:hyperlink w:history="0" r:id="rId89" w:tooltip="Постановление Правительства Пермского края от 20.12.2017 N 1014-п (ред. от 28.12.2022) &quot;Об утверждении Порядка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quot; {КонсультантПлюс}">
        <w:r>
          <w:rPr>
            <w:sz w:val="20"/>
            <w:color w:val="0000ff"/>
          </w:rPr>
          <w:t xml:space="preserve">отчет</w:t>
        </w:r>
      </w:hyperlink>
      <w:r>
        <w:rPr>
          <w:sz w:val="20"/>
        </w:rPr>
        <w:t xml:space="preserve"> об использовании единой субвенции в сроки и по форме, установленные Порядком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 утвержденным Постановлением Правительства Пермского края от 20 декабря 2017 г. N 1014-п.</w:t>
      </w:r>
    </w:p>
    <w:p>
      <w:pPr>
        <w:pStyle w:val="0"/>
        <w:jc w:val="both"/>
      </w:pPr>
      <w:r>
        <w:rPr>
          <w:sz w:val="20"/>
        </w:rPr>
        <w:t xml:space="preserve">(в ред. </w:t>
      </w:r>
      <w:hyperlink w:history="0" r:id="rId90"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28.12.2022 N 1164-п)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w:t>
      </w:r>
    </w:p>
    <w:p>
      <w:pPr>
        <w:pStyle w:val="0"/>
        <w:jc w:val="right"/>
      </w:pPr>
      <w:r>
        <w:rPr>
          <w:sz w:val="20"/>
        </w:rPr>
        <w:t xml:space="preserve">Пермского края бюджетам</w:t>
      </w:r>
    </w:p>
    <w:p>
      <w:pPr>
        <w:pStyle w:val="0"/>
        <w:jc w:val="right"/>
      </w:pPr>
      <w:r>
        <w:rPr>
          <w:sz w:val="20"/>
        </w:rPr>
        <w:t xml:space="preserve">муниципальных образований</w:t>
      </w:r>
    </w:p>
    <w:p>
      <w:pPr>
        <w:pStyle w:val="0"/>
        <w:jc w:val="right"/>
      </w:pPr>
      <w:r>
        <w:rPr>
          <w:sz w:val="20"/>
        </w:rPr>
        <w:t xml:space="preserve">Пермского края на обеспечение</w:t>
      </w:r>
    </w:p>
    <w:p>
      <w:pPr>
        <w:pStyle w:val="0"/>
        <w:jc w:val="right"/>
      </w:pPr>
      <w:r>
        <w:rPr>
          <w:sz w:val="20"/>
        </w:rPr>
        <w:t xml:space="preserve">государственных гарантий</w:t>
      </w:r>
    </w:p>
    <w:p>
      <w:pPr>
        <w:pStyle w:val="0"/>
        <w:jc w:val="right"/>
      </w:pPr>
      <w:r>
        <w:rPr>
          <w:sz w:val="20"/>
        </w:rPr>
        <w:t xml:space="preserve">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начального</w:t>
      </w:r>
    </w:p>
    <w:p>
      <w:pPr>
        <w:pStyle w:val="0"/>
        <w:jc w:val="right"/>
      </w:pPr>
      <w:r>
        <w:rPr>
          <w:sz w:val="20"/>
        </w:rPr>
        <w:t xml:space="preserve">общего, основного общего,</w:t>
      </w:r>
    </w:p>
    <w:p>
      <w:pPr>
        <w:pStyle w:val="0"/>
        <w:jc w:val="right"/>
      </w:pPr>
      <w:r>
        <w:rPr>
          <w:sz w:val="20"/>
        </w:rPr>
        <w:t xml:space="preserve">среднего общего образования,</w:t>
      </w:r>
    </w:p>
    <w:p>
      <w:pPr>
        <w:pStyle w:val="0"/>
        <w:jc w:val="right"/>
      </w:pPr>
      <w:r>
        <w:rPr>
          <w:sz w:val="20"/>
        </w:rPr>
        <w:t xml:space="preserve">а также дополнительного</w:t>
      </w:r>
    </w:p>
    <w:p>
      <w:pPr>
        <w:pStyle w:val="0"/>
        <w:jc w:val="right"/>
      </w:pPr>
      <w:r>
        <w:rPr>
          <w:sz w:val="20"/>
        </w:rPr>
        <w:t xml:space="preserve">образования в муниципальных</w:t>
      </w:r>
    </w:p>
    <w:p>
      <w:pPr>
        <w:pStyle w:val="0"/>
        <w:jc w:val="right"/>
      </w:pPr>
      <w:r>
        <w:rPr>
          <w:sz w:val="20"/>
        </w:rPr>
        <w:t xml:space="preserve">общеобразовательных организациях</w:t>
      </w:r>
    </w:p>
    <w:p>
      <w:pPr>
        <w:pStyle w:val="0"/>
        <w:jc w:val="both"/>
      </w:pPr>
      <w:r>
        <w:rPr>
          <w:sz w:val="20"/>
        </w:rPr>
      </w:r>
    </w:p>
    <w:bookmarkStart w:id="214" w:name="P214"/>
    <w:bookmarkEnd w:id="214"/>
    <w:p>
      <w:pPr>
        <w:pStyle w:val="2"/>
        <w:jc w:val="center"/>
      </w:pPr>
      <w:r>
        <w:rPr>
          <w:sz w:val="20"/>
        </w:rPr>
        <w:t xml:space="preserve">НАПРАВЛЕНИЯ</w:t>
      </w:r>
    </w:p>
    <w:p>
      <w:pPr>
        <w:pStyle w:val="2"/>
        <w:jc w:val="center"/>
      </w:pPr>
      <w:r>
        <w:rPr>
          <w:sz w:val="20"/>
        </w:rPr>
        <w:t xml:space="preserve">расходования субвенции на обеспечение государственных</w:t>
      </w:r>
    </w:p>
    <w:p>
      <w:pPr>
        <w:pStyle w:val="2"/>
        <w:jc w:val="center"/>
      </w:pPr>
      <w:r>
        <w:rPr>
          <w:sz w:val="20"/>
        </w:rPr>
        <w:t xml:space="preserve">гарантий реализации прав на получение общедоступного</w:t>
      </w:r>
    </w:p>
    <w:p>
      <w:pPr>
        <w:pStyle w:val="2"/>
        <w:jc w:val="center"/>
      </w:pPr>
      <w:r>
        <w:rPr>
          <w:sz w:val="20"/>
        </w:rPr>
        <w:t xml:space="preserve">и бесплатного дошкольного, начального общего, основного</w:t>
      </w:r>
    </w:p>
    <w:p>
      <w:pPr>
        <w:pStyle w:val="2"/>
        <w:jc w:val="center"/>
      </w:pPr>
      <w:r>
        <w:rPr>
          <w:sz w:val="20"/>
        </w:rPr>
        <w:t xml:space="preserve">общего, среднего общего образования, а также дополнительного</w:t>
      </w:r>
    </w:p>
    <w:p>
      <w:pPr>
        <w:pStyle w:val="2"/>
        <w:jc w:val="center"/>
      </w:pPr>
      <w:r>
        <w:rPr>
          <w:sz w:val="20"/>
        </w:rPr>
        <w:t xml:space="preserve">образования в муниципальных общеобразовательных</w:t>
      </w:r>
    </w:p>
    <w:p>
      <w:pPr>
        <w:pStyle w:val="2"/>
        <w:jc w:val="center"/>
      </w:pPr>
      <w:r>
        <w:rPr>
          <w:sz w:val="20"/>
        </w:rPr>
        <w:t xml:space="preserve">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31.10.2018 </w:t>
            </w:r>
            <w:hyperlink w:history="0" r:id="rId91" w:tooltip="Постановление Правительства Пермского края от 31.10.2018 N 639-п (ред. от 09.04.2020)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КонсультантПлюс}">
              <w:r>
                <w:rPr>
                  <w:sz w:val="20"/>
                  <w:color w:val="0000ff"/>
                </w:rPr>
                <w:t xml:space="preserve">N 639-п</w:t>
              </w:r>
            </w:hyperlink>
            <w:r>
              <w:rPr>
                <w:sz w:val="20"/>
                <w:color w:val="392c69"/>
              </w:rPr>
              <w:t xml:space="preserve">,</w:t>
            </w:r>
          </w:p>
          <w:p>
            <w:pPr>
              <w:pStyle w:val="0"/>
              <w:jc w:val="center"/>
            </w:pPr>
            <w:r>
              <w:rPr>
                <w:sz w:val="20"/>
                <w:color w:val="392c69"/>
              </w:rPr>
              <w:t xml:space="preserve">от 18.09.2019 </w:t>
            </w:r>
            <w:hyperlink w:history="0" r:id="rId92"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643-п</w:t>
              </w:r>
            </w:hyperlink>
            <w:r>
              <w:rPr>
                <w:sz w:val="20"/>
                <w:color w:val="392c69"/>
              </w:rPr>
              <w:t xml:space="preserve">, от 09.04.2020 </w:t>
            </w:r>
            <w:hyperlink w:history="0" r:id="rId93"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194-п</w:t>
              </w:r>
            </w:hyperlink>
            <w:r>
              <w:rPr>
                <w:sz w:val="20"/>
                <w:color w:val="392c69"/>
              </w:rPr>
              <w:t xml:space="preserve">, от 05.08.2020 </w:t>
            </w:r>
            <w:hyperlink w:history="0" r:id="rId94" w:tooltip="Постановление Правительства Пермского края от 05.08.2020 N 567-п &quot;О внесении изменения в пункт 10 приложения 1 к Порядку предоставления и расходования субвенции из бюджета Пермского края бюджетам муниципальных районов, муниципальных и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 {КонсультантПлюс}">
              <w:r>
                <w:rPr>
                  <w:sz w:val="20"/>
                  <w:color w:val="0000ff"/>
                </w:rPr>
                <w:t xml:space="preserve">N 567-п</w:t>
              </w:r>
            </w:hyperlink>
            <w:r>
              <w:rPr>
                <w:sz w:val="20"/>
                <w:color w:val="392c69"/>
              </w:rPr>
              <w:t xml:space="preserve">,</w:t>
            </w:r>
          </w:p>
          <w:p>
            <w:pPr>
              <w:pStyle w:val="0"/>
              <w:jc w:val="center"/>
            </w:pPr>
            <w:r>
              <w:rPr>
                <w:sz w:val="20"/>
                <w:color w:val="392c69"/>
              </w:rPr>
              <w:t xml:space="preserve">от 28.12.2022 </w:t>
            </w:r>
            <w:hyperlink w:history="0" r:id="rId95"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1164-п</w:t>
              </w:r>
            </w:hyperlink>
            <w:r>
              <w:rPr>
                <w:sz w:val="20"/>
                <w:color w:val="392c69"/>
              </w:rPr>
              <w:t xml:space="preserve">, от 10.05.2023 </w:t>
            </w:r>
            <w:hyperlink w:history="0" r:id="rId96"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N 354-п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Расходы, связанные с образовательным процессом:</w:t>
      </w:r>
    </w:p>
    <w:p>
      <w:pPr>
        <w:pStyle w:val="0"/>
        <w:spacing w:before="200" w:line-rule="auto"/>
        <w:ind w:firstLine="540"/>
        <w:jc w:val="both"/>
      </w:pPr>
      <w:r>
        <w:rPr>
          <w:sz w:val="20"/>
        </w:rPr>
        <w:t xml:space="preserve">1. оплата труда по должностным окладам (с учетом ежемесячной денежной компенсации на обеспечение книгоиздательской продукцией и периодическими изданиями), по ставкам заработной платы, по почасовой оплате, за классное руководство, за работу в ночное время, праздничные и выходные дни, за сверхурочную работу; надбавки за выслугу лет, за работу и стаж работы в местностях с особыми климатическими условиями в районах Крайнего Севера и приравненных к ним местностях, за сложность, напряженность, специальный режим работы; оплата ежегодных отпусков, в том числе компенсация за неиспользованный отпуск, отпусков за период обучения работников, направленных на профессиональную подготовку, повышение квалификации или обучение другим профессиям, и другие аналогичные расходы; выплата за первые три дня временной нетрудоспособности, выплата работникам выходных пособий при их увольнении в связи с ликвидацией либо реорганизацией, а также сокращением численности или штата организаций в порядке и размерах, установленных законодательством Российской Федерации; выплаты поощрительного, стимулирующего характера, в том числе вознаграждения по итогам работы за год, премии, материальная помощь;</w:t>
      </w:r>
    </w:p>
    <w:p>
      <w:pPr>
        <w:pStyle w:val="0"/>
        <w:jc w:val="both"/>
      </w:pPr>
      <w:r>
        <w:rPr>
          <w:sz w:val="20"/>
        </w:rPr>
        <w:t xml:space="preserve">(в ред. </w:t>
      </w:r>
      <w:hyperlink w:history="0" r:id="rId97" w:tooltip="Постановление Правительства Пермского края от 31.10.2018 N 639-п (ред. от 09.04.2020) &quot;О внесении изменений в Порядок предоставления и расходования субвенции из бюджета Пермского края бюджетам муниципальных районов (городских округов)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КонсультантПлюс}">
        <w:r>
          <w:rPr>
            <w:sz w:val="20"/>
            <w:color w:val="0000ff"/>
          </w:rPr>
          <w:t xml:space="preserve">Постановления</w:t>
        </w:r>
      </w:hyperlink>
      <w:r>
        <w:rPr>
          <w:sz w:val="20"/>
        </w:rPr>
        <w:t xml:space="preserve"> Правительства Пермского края от 31.10.2018 N 639-п)</w:t>
      </w:r>
    </w:p>
    <w:p>
      <w:pPr>
        <w:pStyle w:val="0"/>
        <w:spacing w:before="200" w:line-rule="auto"/>
        <w:ind w:firstLine="540"/>
        <w:jc w:val="both"/>
      </w:pPr>
      <w:r>
        <w:rPr>
          <w:sz w:val="20"/>
        </w:rPr>
        <w:t xml:space="preserve">2. ежемесячные компенсационные выплаты сотрудникам (работникам), находящимся в отпуске по уходу за ребенком до достижения им возраста 3 лет;</w:t>
      </w:r>
    </w:p>
    <w:p>
      <w:pPr>
        <w:pStyle w:val="0"/>
        <w:spacing w:before="200" w:line-rule="auto"/>
        <w:ind w:firstLine="540"/>
        <w:jc w:val="both"/>
      </w:pPr>
      <w:r>
        <w:rPr>
          <w:sz w:val="20"/>
        </w:rPr>
        <w:t xml:space="preserve">3. начисления на выплаты по оплате труда, в том числе расходы по уплате страховых взносов в Пенсионный фонд Российской Федерации на обязательное пенсионное страхование,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 Федеральный фонд обязательного медицинского страхования на обязательное медицинское страхование, а также страховых взносов на обязательное социальное страхование от несчастных случаев на производстве и профессиональных заболеваний; расходы, производимые работодателем за счет средств Фонда социального страхования Российской Федерации, по выплате пособий по временной нетрудоспособности, за исключением пособия за три дня временной нетрудоспособности, по беременности и родам, единовременного пособия при рождении ребенка, ежемесячного пособия по уходу за ребенком до достижения им возраста полутора лет, по оплате дополнительных дней для ухода за детьми-инвалидами;</w:t>
      </w:r>
    </w:p>
    <w:p>
      <w:pPr>
        <w:pStyle w:val="0"/>
        <w:spacing w:before="200" w:line-rule="auto"/>
        <w:ind w:firstLine="540"/>
        <w:jc w:val="both"/>
      </w:pPr>
      <w:r>
        <w:rPr>
          <w:sz w:val="20"/>
        </w:rPr>
        <w:t xml:space="preserve">4. расходы по оплате услуг связи в части расходов, связанных с подключением к информационно-телекоммуникационной сети "Интернет" и платой за пользование этой сетью;</w:t>
      </w:r>
    </w:p>
    <w:p>
      <w:pPr>
        <w:pStyle w:val="0"/>
        <w:spacing w:before="200" w:line-rule="auto"/>
        <w:ind w:firstLine="540"/>
        <w:jc w:val="both"/>
      </w:pPr>
      <w:r>
        <w:rPr>
          <w:sz w:val="20"/>
        </w:rPr>
        <w:t xml:space="preserve">5. оплата договоров на оказание транспортных услуг для обеспечения подвоза обучающихся при проведении единого государственного экзамена в 11-х классах и государственной итоговой аттестации в 9-х классах;</w:t>
      </w:r>
    </w:p>
    <w:p>
      <w:pPr>
        <w:pStyle w:val="0"/>
        <w:spacing w:before="200" w:line-rule="auto"/>
        <w:ind w:firstLine="540"/>
        <w:jc w:val="both"/>
      </w:pPr>
      <w:r>
        <w:rPr>
          <w:sz w:val="20"/>
        </w:rPr>
        <w:t xml:space="preserve">6. расходы по оплате услуг кредитных организаций по зачислению компенсации части затрат родителям (законным представителям) по воспитанию и обучению на дому детей-инвалидов дошкольного возраста, которые по состоянию здоровья временно или постоянно не могут посещать муниципальные образовательные организации, на лицевые счета получателей средств;</w:t>
      </w:r>
    </w:p>
    <w:p>
      <w:pPr>
        <w:pStyle w:val="0"/>
        <w:jc w:val="both"/>
      </w:pPr>
      <w:r>
        <w:rPr>
          <w:sz w:val="20"/>
        </w:rPr>
        <w:t xml:space="preserve">(в ред. </w:t>
      </w:r>
      <w:hyperlink w:history="0" r:id="rId98"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09.04.2020 N 194-п)</w:t>
      </w:r>
    </w:p>
    <w:p>
      <w:pPr>
        <w:pStyle w:val="0"/>
        <w:spacing w:before="200" w:line-rule="auto"/>
        <w:ind w:firstLine="540"/>
        <w:jc w:val="both"/>
      </w:pPr>
      <w:r>
        <w:rPr>
          <w:sz w:val="20"/>
        </w:rPr>
        <w:t xml:space="preserve">6(1). расходы по оплате договоров на выполнение работ, оказание услуг (аутсорсинг) при условии отсутствия в штатном расписании должностей работников, в обязанности которых входит выполнение работ, являющихся предметом таких договоров: кастелянша, машинист по стирке и ремонту спецодежды, грузчик, истопник, водитель автомобиля, рабочий по комплексному обслуживанию и ремонту зданий, уборщик служебных помещений, уборщик территории, сторож (вахтер), повар детского питания, охранник, инженер-электрик, гардеробщик, дворник;</w:t>
      </w:r>
    </w:p>
    <w:p>
      <w:pPr>
        <w:pStyle w:val="0"/>
        <w:jc w:val="both"/>
      </w:pPr>
      <w:r>
        <w:rPr>
          <w:sz w:val="20"/>
        </w:rPr>
        <w:t xml:space="preserve">(п. 6(1) введен </w:t>
      </w:r>
      <w:hyperlink w:history="0" r:id="rId99"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rPr>
        <w:t xml:space="preserve"> Правительства Пермского края от 09.04.2020 N 194-п)</w:t>
      </w:r>
    </w:p>
    <w:p>
      <w:pPr>
        <w:pStyle w:val="0"/>
        <w:spacing w:before="200" w:line-rule="auto"/>
        <w:ind w:firstLine="540"/>
        <w:jc w:val="both"/>
      </w:pPr>
      <w:r>
        <w:rPr>
          <w:sz w:val="20"/>
        </w:rPr>
        <w:t xml:space="preserve">7. расходы по оплате договоров по подписке на периодические и справочные издания с учетом доставки подписных изданий, если она предусмотрена в договоре подписки; расходы по оплате труда (с учетом начислений на выплаты по оплате труда) лиц, как состоящих, так и не состоящих в штате данной образовательной организации и привлекаемых для выполнения работ по договорам гражданско-правового характера, в том числе при проведении единого государственного экзамена в 11-х классах и государственной итоговой аттестации в 9-х классах, оплата договоров на выполнение работ, оказание услуг при реализации образовательных программ (аутсорсинг); плата за обучение на курсах повышения квалификации, подготовки и переподготовки специалистов; приобретение (изготовление) бланочной продукции (за исключением бухгалтерских документов), лицензионного программного обеспечения;</w:t>
      </w:r>
    </w:p>
    <w:p>
      <w:pPr>
        <w:pStyle w:val="0"/>
        <w:spacing w:before="200" w:line-rule="auto"/>
        <w:ind w:firstLine="540"/>
        <w:jc w:val="both"/>
      </w:pPr>
      <w:r>
        <w:rPr>
          <w:sz w:val="20"/>
        </w:rPr>
        <w:t xml:space="preserve">8. компенсация затрат родителям (законным представителям) на получение обучающимися начального общего, основного общего, среднего общего образования в форме семейного образования; расходы по предоставлению компенсации части затрат родителям (законным представителям) по воспитанию и обучению на дому детей-инвалидов дошкольного возраста, которые по состоянию здоровья временно или постоянно не могут посещать муниципальные образовательные организации; расходы на выплату работникам среднемесячного заработка на период трудоустройства при увольнении в связи с ликвидацией либо реорганизацией учреждения, иными организационно-штатными мероприятиями, приводящими к сокращению численности или штата учреждения;</w:t>
      </w:r>
    </w:p>
    <w:p>
      <w:pPr>
        <w:pStyle w:val="0"/>
        <w:spacing w:before="200" w:line-rule="auto"/>
        <w:ind w:firstLine="540"/>
        <w:jc w:val="both"/>
      </w:pPr>
      <w:r>
        <w:rPr>
          <w:sz w:val="20"/>
        </w:rPr>
        <w:t xml:space="preserve">9. расходы на приобретение (изготовление) медалей "За особые успехи в учении";</w:t>
      </w:r>
    </w:p>
    <w:p>
      <w:pPr>
        <w:pStyle w:val="0"/>
        <w:spacing w:before="200" w:line-rule="auto"/>
        <w:ind w:firstLine="540"/>
        <w:jc w:val="both"/>
      </w:pPr>
      <w:r>
        <w:rPr>
          <w:sz w:val="20"/>
        </w:rPr>
        <w:t xml:space="preserve">10. расходы в пределах субвенции на приобретение и модернизацию объектов, относящихся к основным средствам, независимо от их стоимости и со сроком полезного использования более 12 месяцев, используемых в образовательном и воспитательном процессах, к которым относятся: школьная мебель (парты, учебные столы, столы для проведения занятий и стулья), учебное оборудование и инструменты для кабинетов и лабораторий, физкультурное оборудование, спортивный инвентарь, музыкальные инструменты, средства вычислительной и специальной техники, копировально-множительной техники, средства связи и телекоммуникаций, библиотечный фонд (на бумажных и иных носителях), наглядные пособия и экспонаты, за исключением данных расходов для оснащения вновь вводимых в эксплуатацию зданий общеобразовательных организаций, а также для оснащения зданий общеобразовательных организаций, капитальный ремонт или реконструкция которых завершены в текущем году;</w:t>
      </w:r>
    </w:p>
    <w:p>
      <w:pPr>
        <w:pStyle w:val="0"/>
        <w:jc w:val="both"/>
      </w:pPr>
      <w:r>
        <w:rPr>
          <w:sz w:val="20"/>
        </w:rPr>
        <w:t xml:space="preserve">(п. 10 в ред. </w:t>
      </w:r>
      <w:hyperlink w:history="0" r:id="rId100"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10.05.2023 N 354-п)</w:t>
      </w:r>
    </w:p>
    <w:p>
      <w:pPr>
        <w:pStyle w:val="0"/>
        <w:spacing w:before="200" w:line-rule="auto"/>
        <w:ind w:firstLine="540"/>
        <w:jc w:val="both"/>
      </w:pPr>
      <w:r>
        <w:rPr>
          <w:sz w:val="20"/>
        </w:rPr>
        <w:t xml:space="preserve">11. расходы в пределах субвенции на приобретение материальных запасов: учебных пособий, учебно-наглядных пособий, рабочих тетрадей, мела, расходных материалов для уроков по предмету "технология", канцелярских принадлежностей, в том числе для проведения единого государственного экзамена в 11-х классах и государственной итоговой аттестации в 9-х классах, запасных и (или) составных частей для вычислительной техники (мониторы, системные блоки, клавиатуры, манипуляторы типа "мышь", соединительные кабели и т.п.); учебных изданий в бумажном и электронном виде, дидактических материалов, аудио- и видеоматериалов, игр, игрушек; расходов на приобретение горюче-смазочных материалов для автотранспортных средств образовательной организации для подвоза обучающихся 11-х классов при проведении единого государственного экзамена и обучающихся 9-х классов при проведении государственной итоговой аттестации; приобретение горюче-смазочных материалов для учебных целей (учебные занятия по автоделу).</w:t>
      </w:r>
    </w:p>
    <w:p>
      <w:pPr>
        <w:pStyle w:val="0"/>
        <w:jc w:val="both"/>
      </w:pPr>
      <w:r>
        <w:rPr>
          <w:sz w:val="20"/>
        </w:rPr>
        <w:t xml:space="preserve">(п. 11 в ред. </w:t>
      </w:r>
      <w:hyperlink w:history="0" r:id="rId101"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rPr>
        <w:t xml:space="preserve"> Правительства Пермского края от 10.05.2023 N 354-п)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 Пермского</w:t>
      </w:r>
    </w:p>
    <w:p>
      <w:pPr>
        <w:pStyle w:val="0"/>
        <w:jc w:val="right"/>
      </w:pPr>
      <w:r>
        <w:rPr>
          <w:sz w:val="20"/>
        </w:rPr>
        <w:t xml:space="preserve">края бюджетам муниципальных</w:t>
      </w:r>
    </w:p>
    <w:p>
      <w:pPr>
        <w:pStyle w:val="0"/>
        <w:jc w:val="right"/>
      </w:pPr>
      <w:r>
        <w:rPr>
          <w:sz w:val="20"/>
        </w:rPr>
        <w:t xml:space="preserve">районов (городских округов)</w:t>
      </w:r>
    </w:p>
    <w:p>
      <w:pPr>
        <w:pStyle w:val="0"/>
        <w:jc w:val="right"/>
      </w:pPr>
      <w:r>
        <w:rPr>
          <w:sz w:val="20"/>
        </w:rPr>
        <w:t xml:space="preserve">Пермского края на обеспечение</w:t>
      </w:r>
    </w:p>
    <w:p>
      <w:pPr>
        <w:pStyle w:val="0"/>
        <w:jc w:val="right"/>
      </w:pPr>
      <w:r>
        <w:rPr>
          <w:sz w:val="20"/>
        </w:rPr>
        <w:t xml:space="preserve">государственных гарантий</w:t>
      </w:r>
    </w:p>
    <w:p>
      <w:pPr>
        <w:pStyle w:val="0"/>
        <w:jc w:val="right"/>
      </w:pPr>
      <w:r>
        <w:rPr>
          <w:sz w:val="20"/>
        </w:rPr>
        <w:t xml:space="preserve">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начального</w:t>
      </w:r>
    </w:p>
    <w:p>
      <w:pPr>
        <w:pStyle w:val="0"/>
        <w:jc w:val="right"/>
      </w:pPr>
      <w:r>
        <w:rPr>
          <w:sz w:val="20"/>
        </w:rPr>
        <w:t xml:space="preserve">общего, основного общего,</w:t>
      </w:r>
    </w:p>
    <w:p>
      <w:pPr>
        <w:pStyle w:val="0"/>
        <w:jc w:val="right"/>
      </w:pPr>
      <w:r>
        <w:rPr>
          <w:sz w:val="20"/>
        </w:rPr>
        <w:t xml:space="preserve">среднего общего образования,</w:t>
      </w:r>
    </w:p>
    <w:p>
      <w:pPr>
        <w:pStyle w:val="0"/>
        <w:jc w:val="right"/>
      </w:pPr>
      <w:r>
        <w:rPr>
          <w:sz w:val="20"/>
        </w:rPr>
        <w:t xml:space="preserve">а также дополнительного</w:t>
      </w:r>
    </w:p>
    <w:p>
      <w:pPr>
        <w:pStyle w:val="0"/>
        <w:jc w:val="right"/>
      </w:pPr>
      <w:r>
        <w:rPr>
          <w:sz w:val="20"/>
        </w:rPr>
        <w:t xml:space="preserve">образования в муниципальных</w:t>
      </w:r>
    </w:p>
    <w:p>
      <w:pPr>
        <w:pStyle w:val="0"/>
        <w:jc w:val="right"/>
      </w:pPr>
      <w:r>
        <w:rPr>
          <w:sz w:val="20"/>
        </w:rPr>
        <w:t xml:space="preserve">общеобразовательных организациях</w:t>
      </w:r>
    </w:p>
    <w:p>
      <w:pPr>
        <w:pStyle w:val="0"/>
        <w:jc w:val="both"/>
      </w:pPr>
      <w:r>
        <w:rPr>
          <w:sz w:val="20"/>
        </w:rPr>
      </w:r>
    </w:p>
    <w:p>
      <w:pPr>
        <w:pStyle w:val="0"/>
        <w:jc w:val="center"/>
      </w:pPr>
      <w:r>
        <w:rPr>
          <w:sz w:val="20"/>
        </w:rPr>
        <w:t xml:space="preserve">ОТЧЕТ</w:t>
      </w:r>
    </w:p>
    <w:p>
      <w:pPr>
        <w:pStyle w:val="0"/>
        <w:jc w:val="center"/>
      </w:pPr>
      <w:r>
        <w:rPr>
          <w:sz w:val="20"/>
        </w:rPr>
        <w:t xml:space="preserve">об использовании субвенции из бюджета Пермского края</w:t>
      </w:r>
    </w:p>
    <w:p>
      <w:pPr>
        <w:pStyle w:val="0"/>
        <w:jc w:val="center"/>
      </w:pPr>
      <w:r>
        <w:rPr>
          <w:sz w:val="20"/>
        </w:rPr>
        <w:t xml:space="preserve">бюджетам муниципальных районов (городских округов) Пермского</w:t>
      </w:r>
    </w:p>
    <w:p>
      <w:pPr>
        <w:pStyle w:val="0"/>
        <w:jc w:val="center"/>
      </w:pPr>
      <w:r>
        <w:rPr>
          <w:sz w:val="20"/>
        </w:rPr>
        <w:t xml:space="preserve">края на обеспечение государственных гарантий прав граждан</w:t>
      </w:r>
    </w:p>
    <w:p>
      <w:pPr>
        <w:pStyle w:val="0"/>
        <w:jc w:val="center"/>
      </w:pPr>
      <w:r>
        <w:rPr>
          <w:sz w:val="20"/>
        </w:rPr>
        <w:t xml:space="preserve">на получение общедоступного и бесплатного дошкольного</w:t>
      </w:r>
    </w:p>
    <w:p>
      <w:pPr>
        <w:pStyle w:val="0"/>
        <w:jc w:val="center"/>
      </w:pPr>
      <w:r>
        <w:rPr>
          <w:sz w:val="20"/>
        </w:rPr>
        <w:t xml:space="preserve">образования в муниципальных общеобразовательных организациях</w:t>
      </w:r>
    </w:p>
    <w:p>
      <w:pPr>
        <w:pStyle w:val="0"/>
        <w:jc w:val="both"/>
      </w:pPr>
      <w:r>
        <w:rPr>
          <w:sz w:val="20"/>
        </w:rPr>
      </w:r>
    </w:p>
    <w:p>
      <w:pPr>
        <w:pStyle w:val="0"/>
        <w:ind w:firstLine="540"/>
        <w:jc w:val="both"/>
      </w:pPr>
      <w:r>
        <w:rPr>
          <w:sz w:val="20"/>
        </w:rPr>
        <w:t xml:space="preserve">Утратил силу. - </w:t>
      </w:r>
      <w:hyperlink w:history="0" r:id="rId102"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w:t>
        </w:r>
      </w:hyperlink>
      <w:r>
        <w:rPr>
          <w:sz w:val="20"/>
        </w:rPr>
        <w:t xml:space="preserve"> Правительства Пермского края от 18.09.2019 N 643-п.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 Пермского</w:t>
      </w:r>
    </w:p>
    <w:p>
      <w:pPr>
        <w:pStyle w:val="0"/>
        <w:jc w:val="right"/>
      </w:pPr>
      <w:r>
        <w:rPr>
          <w:sz w:val="20"/>
        </w:rPr>
        <w:t xml:space="preserve">края бюджетам муниципальных</w:t>
      </w:r>
    </w:p>
    <w:p>
      <w:pPr>
        <w:pStyle w:val="0"/>
        <w:jc w:val="right"/>
      </w:pPr>
      <w:r>
        <w:rPr>
          <w:sz w:val="20"/>
        </w:rPr>
        <w:t xml:space="preserve">районов (городских округов)</w:t>
      </w:r>
    </w:p>
    <w:p>
      <w:pPr>
        <w:pStyle w:val="0"/>
        <w:jc w:val="right"/>
      </w:pPr>
      <w:r>
        <w:rPr>
          <w:sz w:val="20"/>
        </w:rPr>
        <w:t xml:space="preserve">Пермского края на обеспечение</w:t>
      </w:r>
    </w:p>
    <w:p>
      <w:pPr>
        <w:pStyle w:val="0"/>
        <w:jc w:val="right"/>
      </w:pPr>
      <w:r>
        <w:rPr>
          <w:sz w:val="20"/>
        </w:rPr>
        <w:t xml:space="preserve">государственных гарантий</w:t>
      </w:r>
    </w:p>
    <w:p>
      <w:pPr>
        <w:pStyle w:val="0"/>
        <w:jc w:val="right"/>
      </w:pPr>
      <w:r>
        <w:rPr>
          <w:sz w:val="20"/>
        </w:rPr>
        <w:t xml:space="preserve">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начального</w:t>
      </w:r>
    </w:p>
    <w:p>
      <w:pPr>
        <w:pStyle w:val="0"/>
        <w:jc w:val="right"/>
      </w:pPr>
      <w:r>
        <w:rPr>
          <w:sz w:val="20"/>
        </w:rPr>
        <w:t xml:space="preserve">общего, основного общего,</w:t>
      </w:r>
    </w:p>
    <w:p>
      <w:pPr>
        <w:pStyle w:val="0"/>
        <w:jc w:val="right"/>
      </w:pPr>
      <w:r>
        <w:rPr>
          <w:sz w:val="20"/>
        </w:rPr>
        <w:t xml:space="preserve">среднего общего образования,</w:t>
      </w:r>
    </w:p>
    <w:p>
      <w:pPr>
        <w:pStyle w:val="0"/>
        <w:jc w:val="right"/>
      </w:pPr>
      <w:r>
        <w:rPr>
          <w:sz w:val="20"/>
        </w:rPr>
        <w:t xml:space="preserve">а также дополнительного</w:t>
      </w:r>
    </w:p>
    <w:p>
      <w:pPr>
        <w:pStyle w:val="0"/>
        <w:jc w:val="right"/>
      </w:pPr>
      <w:r>
        <w:rPr>
          <w:sz w:val="20"/>
        </w:rPr>
        <w:t xml:space="preserve">образования в муниципальных</w:t>
      </w:r>
    </w:p>
    <w:p>
      <w:pPr>
        <w:pStyle w:val="0"/>
        <w:jc w:val="right"/>
      </w:pPr>
      <w:r>
        <w:rPr>
          <w:sz w:val="20"/>
        </w:rPr>
        <w:t xml:space="preserve">общеобразовательных организациях</w:t>
      </w:r>
    </w:p>
    <w:p>
      <w:pPr>
        <w:pStyle w:val="0"/>
        <w:jc w:val="both"/>
      </w:pPr>
      <w:r>
        <w:rPr>
          <w:sz w:val="20"/>
        </w:rPr>
      </w:r>
    </w:p>
    <w:p>
      <w:pPr>
        <w:pStyle w:val="0"/>
        <w:jc w:val="center"/>
      </w:pPr>
      <w:r>
        <w:rPr>
          <w:sz w:val="20"/>
        </w:rPr>
        <w:t xml:space="preserve">ОТЧЕТ</w:t>
      </w:r>
    </w:p>
    <w:p>
      <w:pPr>
        <w:pStyle w:val="0"/>
        <w:jc w:val="center"/>
      </w:pPr>
      <w:r>
        <w:rPr>
          <w:sz w:val="20"/>
        </w:rPr>
        <w:t xml:space="preserve">об использовании субвенции из бюджета Пермского края</w:t>
      </w:r>
    </w:p>
    <w:p>
      <w:pPr>
        <w:pStyle w:val="0"/>
        <w:jc w:val="center"/>
      </w:pPr>
      <w:r>
        <w:rPr>
          <w:sz w:val="20"/>
        </w:rPr>
        <w:t xml:space="preserve">бюджетам муниципальных районов (городских округов) Пермского</w:t>
      </w:r>
    </w:p>
    <w:p>
      <w:pPr>
        <w:pStyle w:val="0"/>
        <w:jc w:val="center"/>
      </w:pPr>
      <w:r>
        <w:rPr>
          <w:sz w:val="20"/>
        </w:rPr>
        <w:t xml:space="preserve">края на обеспечение государственных гарантий прав граждан</w:t>
      </w:r>
    </w:p>
    <w:p>
      <w:pPr>
        <w:pStyle w:val="0"/>
        <w:jc w:val="center"/>
      </w:pPr>
      <w:r>
        <w:rPr>
          <w:sz w:val="20"/>
        </w:rPr>
        <w:t xml:space="preserve">на получение общедоступного и бесплатного начального</w:t>
      </w:r>
    </w:p>
    <w:p>
      <w:pPr>
        <w:pStyle w:val="0"/>
        <w:jc w:val="center"/>
      </w:pPr>
      <w:r>
        <w:rPr>
          <w:sz w:val="20"/>
        </w:rPr>
        <w:t xml:space="preserve">общего, основного общего, среднего общего образования,</w:t>
      </w:r>
    </w:p>
    <w:p>
      <w:pPr>
        <w:pStyle w:val="0"/>
        <w:jc w:val="center"/>
      </w:pPr>
      <w:r>
        <w:rPr>
          <w:sz w:val="20"/>
        </w:rPr>
        <w:t xml:space="preserve">а также дополнительного образования в муниципальных</w:t>
      </w:r>
    </w:p>
    <w:p>
      <w:pPr>
        <w:pStyle w:val="0"/>
        <w:jc w:val="center"/>
      </w:pPr>
      <w:r>
        <w:rPr>
          <w:sz w:val="20"/>
        </w:rPr>
        <w:t xml:space="preserve">общеобразовательных организациях</w:t>
      </w:r>
    </w:p>
    <w:p>
      <w:pPr>
        <w:pStyle w:val="0"/>
        <w:jc w:val="both"/>
      </w:pPr>
      <w:r>
        <w:rPr>
          <w:sz w:val="20"/>
        </w:rPr>
      </w:r>
    </w:p>
    <w:p>
      <w:pPr>
        <w:pStyle w:val="0"/>
        <w:ind w:firstLine="540"/>
        <w:jc w:val="both"/>
      </w:pPr>
      <w:r>
        <w:rPr>
          <w:sz w:val="20"/>
        </w:rPr>
        <w:t xml:space="preserve">Утратил силу. - </w:t>
      </w:r>
      <w:hyperlink w:history="0" r:id="rId103" w:tooltip="Постановление Правительства Пермского края от 18.09.2019 N 643-п (ред. от 05.12.2019)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w:t>
        </w:r>
      </w:hyperlink>
      <w:r>
        <w:rPr>
          <w:sz w:val="20"/>
        </w:rPr>
        <w:t xml:space="preserve"> Правительства Пермского края от 18.09.2019 N 643-п.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w:t>
      </w:r>
    </w:p>
    <w:p>
      <w:pPr>
        <w:pStyle w:val="0"/>
        <w:jc w:val="right"/>
      </w:pPr>
      <w:r>
        <w:rPr>
          <w:sz w:val="20"/>
        </w:rPr>
        <w:t xml:space="preserve">Пермского края бюджетам</w:t>
      </w:r>
    </w:p>
    <w:p>
      <w:pPr>
        <w:pStyle w:val="0"/>
        <w:jc w:val="right"/>
      </w:pPr>
      <w:r>
        <w:rPr>
          <w:sz w:val="20"/>
        </w:rPr>
        <w:t xml:space="preserve">муниципальных образований</w:t>
      </w:r>
    </w:p>
    <w:p>
      <w:pPr>
        <w:pStyle w:val="0"/>
        <w:jc w:val="right"/>
      </w:pPr>
      <w:r>
        <w:rPr>
          <w:sz w:val="20"/>
        </w:rPr>
        <w:t xml:space="preserve">Пермского края на обеспечение</w:t>
      </w:r>
    </w:p>
    <w:p>
      <w:pPr>
        <w:pStyle w:val="0"/>
        <w:jc w:val="right"/>
      </w:pPr>
      <w:r>
        <w:rPr>
          <w:sz w:val="20"/>
        </w:rPr>
        <w:t xml:space="preserve">государственных гарантий</w:t>
      </w:r>
    </w:p>
    <w:p>
      <w:pPr>
        <w:pStyle w:val="0"/>
        <w:jc w:val="right"/>
      </w:pPr>
      <w:r>
        <w:rPr>
          <w:sz w:val="20"/>
        </w:rPr>
        <w:t xml:space="preserve">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начального</w:t>
      </w:r>
    </w:p>
    <w:p>
      <w:pPr>
        <w:pStyle w:val="0"/>
        <w:jc w:val="right"/>
      </w:pPr>
      <w:r>
        <w:rPr>
          <w:sz w:val="20"/>
        </w:rPr>
        <w:t xml:space="preserve">общего, основного общего,</w:t>
      </w:r>
    </w:p>
    <w:p>
      <w:pPr>
        <w:pStyle w:val="0"/>
        <w:jc w:val="right"/>
      </w:pPr>
      <w:r>
        <w:rPr>
          <w:sz w:val="20"/>
        </w:rPr>
        <w:t xml:space="preserve">среднего общего образования,</w:t>
      </w:r>
    </w:p>
    <w:p>
      <w:pPr>
        <w:pStyle w:val="0"/>
        <w:jc w:val="right"/>
      </w:pPr>
      <w:r>
        <w:rPr>
          <w:sz w:val="20"/>
        </w:rPr>
        <w:t xml:space="preserve">а также дополнительного</w:t>
      </w:r>
    </w:p>
    <w:p>
      <w:pPr>
        <w:pStyle w:val="0"/>
        <w:jc w:val="right"/>
      </w:pPr>
      <w:r>
        <w:rPr>
          <w:sz w:val="20"/>
        </w:rPr>
        <w:t xml:space="preserve">образования в муниципальных</w:t>
      </w:r>
    </w:p>
    <w:p>
      <w:pPr>
        <w:pStyle w:val="0"/>
        <w:jc w:val="right"/>
      </w:pPr>
      <w:r>
        <w:rPr>
          <w:sz w:val="20"/>
        </w:rPr>
        <w:t xml:space="preserve">общеобразовательных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4"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color w:val="392c69"/>
              </w:rPr>
              <w:t xml:space="preserve"> Правительства Пермского края от 28.12.2022 N 1164-п)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ФОРМА</w:t>
      </w:r>
    </w:p>
    <w:p>
      <w:pPr>
        <w:pStyle w:val="0"/>
        <w:jc w:val="both"/>
      </w:pPr>
      <w:r>
        <w:rPr>
          <w:sz w:val="20"/>
        </w:rPr>
      </w:r>
    </w:p>
    <w:bookmarkStart w:id="332" w:name="P332"/>
    <w:bookmarkEnd w:id="332"/>
    <w:p>
      <w:pPr>
        <w:pStyle w:val="0"/>
        <w:jc w:val="center"/>
      </w:pPr>
      <w:r>
        <w:rPr>
          <w:sz w:val="20"/>
        </w:rPr>
        <w:t xml:space="preserve">ЗАЯВКА</w:t>
      </w:r>
    </w:p>
    <w:p>
      <w:pPr>
        <w:pStyle w:val="0"/>
        <w:jc w:val="center"/>
      </w:pPr>
      <w:r>
        <w:rPr>
          <w:sz w:val="20"/>
        </w:rPr>
        <w:t xml:space="preserve">на включение в перечень общеобразовательных организаций,</w:t>
      </w:r>
    </w:p>
    <w:p>
      <w:pPr>
        <w:pStyle w:val="0"/>
        <w:jc w:val="center"/>
      </w:pPr>
      <w:r>
        <w:rPr>
          <w:sz w:val="20"/>
        </w:rPr>
        <w:t xml:space="preserve">подлежащих дополнительному финансированию за счет средств</w:t>
      </w:r>
    </w:p>
    <w:p>
      <w:pPr>
        <w:pStyle w:val="0"/>
        <w:jc w:val="center"/>
      </w:pPr>
      <w:r>
        <w:rPr>
          <w:sz w:val="20"/>
        </w:rPr>
        <w:t xml:space="preserve">бюджета Пермского края по критерию "Наличие инновационной</w:t>
      </w:r>
    </w:p>
    <w:p>
      <w:pPr>
        <w:pStyle w:val="0"/>
        <w:jc w:val="center"/>
      </w:pPr>
      <w:r>
        <w:rPr>
          <w:sz w:val="20"/>
        </w:rPr>
        <w:t xml:space="preserve">образовательной программы, прошедшей научно-педагогическую</w:t>
      </w:r>
    </w:p>
    <w:p>
      <w:pPr>
        <w:pStyle w:val="0"/>
        <w:jc w:val="center"/>
      </w:pPr>
      <w:r>
        <w:rPr>
          <w:sz w:val="20"/>
        </w:rPr>
        <w:t xml:space="preserve">экспертизу"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39"/>
        <w:gridCol w:w="964"/>
        <w:gridCol w:w="907"/>
        <w:gridCol w:w="754"/>
        <w:gridCol w:w="737"/>
        <w:gridCol w:w="736"/>
        <w:gridCol w:w="1077"/>
        <w:gridCol w:w="736"/>
        <w:gridCol w:w="1474"/>
      </w:tblGrid>
      <w:tr>
        <w:tc>
          <w:tcPr>
            <w:gridSpan w:val="9"/>
            <w:tcW w:w="9024" w:type="dxa"/>
          </w:tcPr>
          <w:p>
            <w:pPr>
              <w:pStyle w:val="0"/>
              <w:jc w:val="center"/>
            </w:pPr>
            <w:r>
              <w:rPr>
                <w:sz w:val="20"/>
              </w:rPr>
              <w:t xml:space="preserve">Наименование общеобразовательной организации</w:t>
            </w:r>
          </w:p>
        </w:tc>
      </w:tr>
      <w:tr>
        <w:tc>
          <w:tcPr>
            <w:gridSpan w:val="9"/>
            <w:tcW w:w="9024" w:type="dxa"/>
          </w:tcPr>
          <w:p>
            <w:pPr>
              <w:pStyle w:val="0"/>
              <w:jc w:val="center"/>
            </w:pPr>
            <w:r>
              <w:rPr>
                <w:sz w:val="20"/>
              </w:rPr>
              <w:t xml:space="preserve">Наименование муниципального образования Пермского края</w:t>
            </w:r>
          </w:p>
        </w:tc>
      </w:tr>
      <w:tr>
        <w:tc>
          <w:tcPr>
            <w:tcW w:w="1639" w:type="dxa"/>
          </w:tcPr>
          <w:p>
            <w:pPr>
              <w:pStyle w:val="0"/>
              <w:jc w:val="center"/>
            </w:pPr>
            <w:r>
              <w:rPr>
                <w:sz w:val="20"/>
              </w:rPr>
              <w:t xml:space="preserve">Наименование должности</w:t>
            </w:r>
          </w:p>
        </w:tc>
        <w:tc>
          <w:tcPr>
            <w:tcW w:w="964" w:type="dxa"/>
          </w:tcPr>
          <w:p>
            <w:pPr>
              <w:pStyle w:val="0"/>
              <w:jc w:val="center"/>
            </w:pPr>
            <w:r>
              <w:rPr>
                <w:sz w:val="20"/>
              </w:rPr>
              <w:t xml:space="preserve">Количество классов</w:t>
            </w:r>
          </w:p>
        </w:tc>
        <w:tc>
          <w:tcPr>
            <w:tcW w:w="907" w:type="dxa"/>
          </w:tcPr>
          <w:p>
            <w:pPr>
              <w:pStyle w:val="0"/>
              <w:jc w:val="center"/>
            </w:pPr>
            <w:r>
              <w:rPr>
                <w:sz w:val="20"/>
              </w:rPr>
              <w:t xml:space="preserve">Количество ставок</w:t>
            </w:r>
          </w:p>
        </w:tc>
        <w:tc>
          <w:tcPr>
            <w:tcW w:w="754" w:type="dxa"/>
          </w:tcPr>
          <w:p>
            <w:pPr>
              <w:pStyle w:val="0"/>
              <w:jc w:val="center"/>
            </w:pPr>
            <w:r>
              <w:rPr>
                <w:sz w:val="20"/>
              </w:rPr>
              <w:t xml:space="preserve">Оклад</w:t>
            </w:r>
          </w:p>
        </w:tc>
        <w:tc>
          <w:tcPr>
            <w:tcW w:w="737" w:type="dxa"/>
          </w:tcPr>
          <w:p>
            <w:pPr>
              <w:pStyle w:val="0"/>
              <w:jc w:val="center"/>
            </w:pPr>
            <w:r>
              <w:rPr>
                <w:sz w:val="20"/>
              </w:rPr>
              <w:t xml:space="preserve">Надбавки</w:t>
            </w:r>
          </w:p>
        </w:tc>
        <w:tc>
          <w:tcPr>
            <w:tcW w:w="736" w:type="dxa"/>
          </w:tcPr>
          <w:p>
            <w:pPr>
              <w:pStyle w:val="0"/>
              <w:jc w:val="center"/>
            </w:pPr>
            <w:r>
              <w:rPr>
                <w:sz w:val="20"/>
              </w:rPr>
              <w:t xml:space="preserve">Итого база</w:t>
            </w:r>
          </w:p>
        </w:tc>
        <w:tc>
          <w:tcPr>
            <w:tcW w:w="1077" w:type="dxa"/>
          </w:tcPr>
          <w:p>
            <w:pPr>
              <w:pStyle w:val="0"/>
              <w:jc w:val="center"/>
            </w:pPr>
            <w:r>
              <w:rPr>
                <w:sz w:val="20"/>
              </w:rPr>
              <w:t xml:space="preserve">Стимулирование</w:t>
            </w:r>
          </w:p>
        </w:tc>
        <w:tc>
          <w:tcPr>
            <w:tcW w:w="736" w:type="dxa"/>
          </w:tcPr>
          <w:p>
            <w:pPr>
              <w:pStyle w:val="0"/>
              <w:jc w:val="center"/>
            </w:pPr>
            <w:r>
              <w:rPr>
                <w:sz w:val="20"/>
              </w:rPr>
              <w:t xml:space="preserve">Всего в месяц</w:t>
            </w:r>
          </w:p>
        </w:tc>
        <w:tc>
          <w:tcPr>
            <w:tcW w:w="1474" w:type="dxa"/>
          </w:tcPr>
          <w:p>
            <w:pPr>
              <w:pStyle w:val="0"/>
              <w:jc w:val="center"/>
            </w:pPr>
            <w:r>
              <w:rPr>
                <w:sz w:val="20"/>
              </w:rPr>
              <w:t xml:space="preserve">Всего в год с уральским коэффициентом и единым социальным налогом</w:t>
            </w:r>
          </w:p>
        </w:tc>
      </w:tr>
      <w:tr>
        <w:tc>
          <w:tcPr>
            <w:tcW w:w="1639" w:type="dxa"/>
            <w:vAlign w:val="center"/>
          </w:tcPr>
          <w:p>
            <w:pPr>
              <w:pStyle w:val="0"/>
              <w:jc w:val="center"/>
            </w:pPr>
            <w:r>
              <w:rPr>
                <w:sz w:val="20"/>
              </w:rPr>
              <w:t xml:space="preserve">1</w:t>
            </w:r>
          </w:p>
        </w:tc>
        <w:tc>
          <w:tcPr>
            <w:tcW w:w="964" w:type="dxa"/>
            <w:vAlign w:val="center"/>
          </w:tcPr>
          <w:p>
            <w:pPr>
              <w:pStyle w:val="0"/>
              <w:jc w:val="center"/>
            </w:pPr>
            <w:r>
              <w:rPr>
                <w:sz w:val="20"/>
              </w:rPr>
              <w:t xml:space="preserve">2</w:t>
            </w:r>
          </w:p>
        </w:tc>
        <w:tc>
          <w:tcPr>
            <w:tcW w:w="907" w:type="dxa"/>
            <w:vAlign w:val="center"/>
          </w:tcPr>
          <w:p>
            <w:pPr>
              <w:pStyle w:val="0"/>
              <w:jc w:val="center"/>
            </w:pPr>
            <w:r>
              <w:rPr>
                <w:sz w:val="20"/>
              </w:rPr>
              <w:t xml:space="preserve">3</w:t>
            </w:r>
          </w:p>
        </w:tc>
        <w:tc>
          <w:tcPr>
            <w:tcW w:w="754" w:type="dxa"/>
            <w:vAlign w:val="center"/>
          </w:tcPr>
          <w:p>
            <w:pPr>
              <w:pStyle w:val="0"/>
              <w:jc w:val="center"/>
            </w:pPr>
            <w:r>
              <w:rPr>
                <w:sz w:val="20"/>
              </w:rPr>
              <w:t xml:space="preserve">4</w:t>
            </w:r>
          </w:p>
        </w:tc>
        <w:tc>
          <w:tcPr>
            <w:tcW w:w="737" w:type="dxa"/>
            <w:vAlign w:val="center"/>
          </w:tcPr>
          <w:p>
            <w:pPr>
              <w:pStyle w:val="0"/>
              <w:jc w:val="center"/>
            </w:pPr>
            <w:r>
              <w:rPr>
                <w:sz w:val="20"/>
              </w:rPr>
              <w:t xml:space="preserve">5</w:t>
            </w:r>
          </w:p>
        </w:tc>
        <w:tc>
          <w:tcPr>
            <w:tcW w:w="736" w:type="dxa"/>
            <w:vAlign w:val="center"/>
          </w:tcPr>
          <w:p>
            <w:pPr>
              <w:pStyle w:val="0"/>
              <w:jc w:val="center"/>
            </w:pPr>
            <w:r>
              <w:rPr>
                <w:sz w:val="20"/>
              </w:rPr>
              <w:t xml:space="preserve">6</w:t>
            </w:r>
          </w:p>
        </w:tc>
        <w:tc>
          <w:tcPr>
            <w:tcW w:w="1077" w:type="dxa"/>
            <w:vAlign w:val="center"/>
          </w:tcPr>
          <w:p>
            <w:pPr>
              <w:pStyle w:val="0"/>
              <w:jc w:val="center"/>
            </w:pPr>
            <w:r>
              <w:rPr>
                <w:sz w:val="20"/>
              </w:rPr>
              <w:t xml:space="preserve">7</w:t>
            </w:r>
          </w:p>
        </w:tc>
        <w:tc>
          <w:tcPr>
            <w:tcW w:w="736" w:type="dxa"/>
            <w:vAlign w:val="center"/>
          </w:tcPr>
          <w:p>
            <w:pPr>
              <w:pStyle w:val="0"/>
              <w:jc w:val="center"/>
            </w:pPr>
            <w:r>
              <w:rPr>
                <w:sz w:val="20"/>
              </w:rPr>
              <w:t xml:space="preserve">8</w:t>
            </w:r>
          </w:p>
        </w:tc>
        <w:tc>
          <w:tcPr>
            <w:tcW w:w="1474" w:type="dxa"/>
            <w:vAlign w:val="center"/>
          </w:tcPr>
          <w:p>
            <w:pPr>
              <w:pStyle w:val="0"/>
              <w:jc w:val="center"/>
            </w:pPr>
            <w:r>
              <w:rPr>
                <w:sz w:val="20"/>
              </w:rPr>
              <w:t xml:space="preserve">9</w:t>
            </w:r>
          </w:p>
        </w:tc>
      </w:tr>
      <w:tr>
        <w:tc>
          <w:tcPr>
            <w:tcW w:w="1639" w:type="dxa"/>
          </w:tcPr>
          <w:p>
            <w:pPr>
              <w:pStyle w:val="0"/>
            </w:pPr>
            <w:r>
              <w:rPr>
                <w:sz w:val="20"/>
              </w:rPr>
            </w:r>
          </w:p>
        </w:tc>
        <w:tc>
          <w:tcPr>
            <w:tcW w:w="964" w:type="dxa"/>
          </w:tcPr>
          <w:p>
            <w:pPr>
              <w:pStyle w:val="0"/>
            </w:pPr>
            <w:r>
              <w:rPr>
                <w:sz w:val="20"/>
              </w:rPr>
            </w:r>
          </w:p>
        </w:tc>
        <w:tc>
          <w:tcPr>
            <w:tcW w:w="907" w:type="dxa"/>
          </w:tcPr>
          <w:p>
            <w:pPr>
              <w:pStyle w:val="0"/>
            </w:pPr>
            <w:r>
              <w:rPr>
                <w:sz w:val="20"/>
              </w:rPr>
            </w:r>
          </w:p>
        </w:tc>
        <w:tc>
          <w:tcPr>
            <w:tcW w:w="754" w:type="dxa"/>
          </w:tcPr>
          <w:p>
            <w:pPr>
              <w:pStyle w:val="0"/>
            </w:pPr>
            <w:r>
              <w:rPr>
                <w:sz w:val="20"/>
              </w:rPr>
            </w:r>
          </w:p>
        </w:tc>
        <w:tc>
          <w:tcPr>
            <w:tcW w:w="737" w:type="dxa"/>
          </w:tcPr>
          <w:p>
            <w:pPr>
              <w:pStyle w:val="0"/>
            </w:pPr>
            <w:r>
              <w:rPr>
                <w:sz w:val="20"/>
              </w:rPr>
            </w:r>
          </w:p>
        </w:tc>
        <w:tc>
          <w:tcPr>
            <w:tcW w:w="736" w:type="dxa"/>
          </w:tcPr>
          <w:p>
            <w:pPr>
              <w:pStyle w:val="0"/>
            </w:pPr>
            <w:r>
              <w:rPr>
                <w:sz w:val="20"/>
              </w:rPr>
            </w:r>
          </w:p>
        </w:tc>
        <w:tc>
          <w:tcPr>
            <w:tcW w:w="1077" w:type="dxa"/>
          </w:tcPr>
          <w:p>
            <w:pPr>
              <w:pStyle w:val="0"/>
            </w:pPr>
            <w:r>
              <w:rPr>
                <w:sz w:val="20"/>
              </w:rPr>
            </w:r>
          </w:p>
        </w:tc>
        <w:tc>
          <w:tcPr>
            <w:tcW w:w="736" w:type="dxa"/>
          </w:tcPr>
          <w:p>
            <w:pPr>
              <w:pStyle w:val="0"/>
            </w:pPr>
            <w:r>
              <w:rPr>
                <w:sz w:val="20"/>
              </w:rPr>
            </w:r>
          </w:p>
        </w:tc>
        <w:tc>
          <w:tcPr>
            <w:tcW w:w="1474" w:type="dxa"/>
          </w:tcPr>
          <w:p>
            <w:pPr>
              <w:pStyle w:val="0"/>
            </w:pPr>
            <w:r>
              <w:rPr>
                <w:sz w:val="20"/>
              </w:rPr>
            </w:r>
          </w:p>
        </w:tc>
      </w:tr>
      <w:tr>
        <w:tc>
          <w:tcPr>
            <w:tcW w:w="1639" w:type="dxa"/>
          </w:tcPr>
          <w:p>
            <w:pPr>
              <w:pStyle w:val="0"/>
            </w:pPr>
            <w:r>
              <w:rPr>
                <w:sz w:val="20"/>
              </w:rPr>
            </w:r>
          </w:p>
        </w:tc>
        <w:tc>
          <w:tcPr>
            <w:tcW w:w="964" w:type="dxa"/>
          </w:tcPr>
          <w:p>
            <w:pPr>
              <w:pStyle w:val="0"/>
            </w:pPr>
            <w:r>
              <w:rPr>
                <w:sz w:val="20"/>
              </w:rPr>
            </w:r>
          </w:p>
        </w:tc>
        <w:tc>
          <w:tcPr>
            <w:tcW w:w="907" w:type="dxa"/>
          </w:tcPr>
          <w:p>
            <w:pPr>
              <w:pStyle w:val="0"/>
            </w:pPr>
            <w:r>
              <w:rPr>
                <w:sz w:val="20"/>
              </w:rPr>
            </w:r>
          </w:p>
        </w:tc>
        <w:tc>
          <w:tcPr>
            <w:tcW w:w="754" w:type="dxa"/>
          </w:tcPr>
          <w:p>
            <w:pPr>
              <w:pStyle w:val="0"/>
            </w:pPr>
            <w:r>
              <w:rPr>
                <w:sz w:val="20"/>
              </w:rPr>
            </w:r>
          </w:p>
        </w:tc>
        <w:tc>
          <w:tcPr>
            <w:tcW w:w="737" w:type="dxa"/>
          </w:tcPr>
          <w:p>
            <w:pPr>
              <w:pStyle w:val="0"/>
            </w:pPr>
            <w:r>
              <w:rPr>
                <w:sz w:val="20"/>
              </w:rPr>
            </w:r>
          </w:p>
        </w:tc>
        <w:tc>
          <w:tcPr>
            <w:tcW w:w="736" w:type="dxa"/>
          </w:tcPr>
          <w:p>
            <w:pPr>
              <w:pStyle w:val="0"/>
            </w:pPr>
            <w:r>
              <w:rPr>
                <w:sz w:val="20"/>
              </w:rPr>
            </w:r>
          </w:p>
        </w:tc>
        <w:tc>
          <w:tcPr>
            <w:tcW w:w="1077" w:type="dxa"/>
          </w:tcPr>
          <w:p>
            <w:pPr>
              <w:pStyle w:val="0"/>
            </w:pPr>
            <w:r>
              <w:rPr>
                <w:sz w:val="20"/>
              </w:rPr>
            </w:r>
          </w:p>
        </w:tc>
        <w:tc>
          <w:tcPr>
            <w:tcW w:w="736" w:type="dxa"/>
          </w:tcPr>
          <w:p>
            <w:pPr>
              <w:pStyle w:val="0"/>
            </w:pPr>
            <w:r>
              <w:rPr>
                <w:sz w:val="20"/>
              </w:rPr>
            </w:r>
          </w:p>
        </w:tc>
        <w:tc>
          <w:tcPr>
            <w:tcW w:w="1474" w:type="dxa"/>
          </w:tcPr>
          <w:p>
            <w:pPr>
              <w:pStyle w:val="0"/>
            </w:pPr>
            <w:r>
              <w:rPr>
                <w:sz w:val="20"/>
              </w:rPr>
            </w:r>
          </w:p>
        </w:tc>
      </w:tr>
      <w:tr>
        <w:tc>
          <w:tcPr>
            <w:tcW w:w="1639" w:type="dxa"/>
          </w:tcPr>
          <w:p>
            <w:pPr>
              <w:pStyle w:val="0"/>
              <w:jc w:val="both"/>
            </w:pPr>
            <w:r>
              <w:rPr>
                <w:sz w:val="20"/>
              </w:rPr>
              <w:t xml:space="preserve">Итого</w:t>
            </w:r>
          </w:p>
        </w:tc>
        <w:tc>
          <w:tcPr>
            <w:tcW w:w="964" w:type="dxa"/>
          </w:tcPr>
          <w:p>
            <w:pPr>
              <w:pStyle w:val="0"/>
            </w:pPr>
            <w:r>
              <w:rPr>
                <w:sz w:val="20"/>
              </w:rPr>
            </w:r>
          </w:p>
        </w:tc>
        <w:tc>
          <w:tcPr>
            <w:tcW w:w="907" w:type="dxa"/>
          </w:tcPr>
          <w:p>
            <w:pPr>
              <w:pStyle w:val="0"/>
            </w:pPr>
            <w:r>
              <w:rPr>
                <w:sz w:val="20"/>
              </w:rPr>
            </w:r>
          </w:p>
        </w:tc>
        <w:tc>
          <w:tcPr>
            <w:tcW w:w="754" w:type="dxa"/>
          </w:tcPr>
          <w:p>
            <w:pPr>
              <w:pStyle w:val="0"/>
            </w:pPr>
            <w:r>
              <w:rPr>
                <w:sz w:val="20"/>
              </w:rPr>
            </w:r>
          </w:p>
        </w:tc>
        <w:tc>
          <w:tcPr>
            <w:tcW w:w="737" w:type="dxa"/>
          </w:tcPr>
          <w:p>
            <w:pPr>
              <w:pStyle w:val="0"/>
            </w:pPr>
            <w:r>
              <w:rPr>
                <w:sz w:val="20"/>
              </w:rPr>
            </w:r>
          </w:p>
        </w:tc>
        <w:tc>
          <w:tcPr>
            <w:tcW w:w="736" w:type="dxa"/>
          </w:tcPr>
          <w:p>
            <w:pPr>
              <w:pStyle w:val="0"/>
            </w:pPr>
            <w:r>
              <w:rPr>
                <w:sz w:val="20"/>
              </w:rPr>
            </w:r>
          </w:p>
        </w:tc>
        <w:tc>
          <w:tcPr>
            <w:tcW w:w="1077" w:type="dxa"/>
          </w:tcPr>
          <w:p>
            <w:pPr>
              <w:pStyle w:val="0"/>
            </w:pPr>
            <w:r>
              <w:rPr>
                <w:sz w:val="20"/>
              </w:rPr>
            </w:r>
          </w:p>
        </w:tc>
        <w:tc>
          <w:tcPr>
            <w:tcW w:w="736" w:type="dxa"/>
          </w:tcPr>
          <w:p>
            <w:pPr>
              <w:pStyle w:val="0"/>
            </w:pPr>
            <w:r>
              <w:rPr>
                <w:sz w:val="20"/>
              </w:rPr>
            </w:r>
          </w:p>
        </w:tc>
        <w:tc>
          <w:tcPr>
            <w:tcW w:w="1474" w:type="dxa"/>
          </w:tcPr>
          <w:p>
            <w:pPr>
              <w:pStyle w:val="0"/>
            </w:pPr>
            <w:r>
              <w:rPr>
                <w:sz w:val="20"/>
              </w:rPr>
            </w:r>
          </w:p>
        </w:tc>
      </w:tr>
    </w:tbl>
    <w:p>
      <w:pPr>
        <w:pStyle w:val="0"/>
        <w:jc w:val="both"/>
      </w:pPr>
      <w:r>
        <w:rPr>
          <w:sz w:val="20"/>
        </w:rPr>
      </w:r>
    </w:p>
    <w:p>
      <w:pPr>
        <w:pStyle w:val="0"/>
        <w:ind w:firstLine="540"/>
        <w:jc w:val="both"/>
      </w:pPr>
      <w:r>
        <w:rPr>
          <w:sz w:val="20"/>
        </w:rPr>
        <w:t xml:space="preserve">Руководитель общеобразовательной организации _____________ /______________/</w:t>
      </w:r>
    </w:p>
    <w:p>
      <w:pPr>
        <w:pStyle w:val="0"/>
        <w:jc w:val="both"/>
      </w:pPr>
      <w:r>
        <w:rPr>
          <w:sz w:val="20"/>
        </w:rPr>
      </w:r>
    </w:p>
    <w:p>
      <w:pPr>
        <w:pStyle w:val="0"/>
        <w:ind w:firstLine="540"/>
        <w:jc w:val="both"/>
      </w:pPr>
      <w:r>
        <w:rPr>
          <w:sz w:val="20"/>
        </w:rPr>
        <w:t xml:space="preserve">Справочная информация:</w:t>
      </w:r>
    </w:p>
    <w:p>
      <w:pPr>
        <w:pStyle w:val="0"/>
        <w:jc w:val="both"/>
      </w:pPr>
      <w:r>
        <w:rPr>
          <w:sz w:val="20"/>
        </w:rPr>
      </w:r>
    </w:p>
    <w:p>
      <w:pPr>
        <w:pStyle w:val="0"/>
        <w:jc w:val="right"/>
      </w:pPr>
      <w:r>
        <w:rPr>
          <w:sz w:val="20"/>
        </w:rPr>
        <w:t xml:space="preserve">тыс. руб.</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2374"/>
        <w:gridCol w:w="1020"/>
        <w:gridCol w:w="2374"/>
        <w:gridCol w:w="1304"/>
        <w:gridCol w:w="1134"/>
        <w:gridCol w:w="1304"/>
      </w:tblGrid>
      <w:tr>
        <w:tc>
          <w:tcPr>
            <w:tcW w:w="1849" w:type="dxa"/>
            <w:vMerge w:val="restart"/>
          </w:tcPr>
          <w:p>
            <w:pPr>
              <w:pStyle w:val="0"/>
              <w:jc w:val="center"/>
            </w:pPr>
            <w:r>
              <w:rPr>
                <w:sz w:val="20"/>
              </w:rPr>
              <w:t xml:space="preserve">Наименование муниципального образования</w:t>
            </w:r>
          </w:p>
        </w:tc>
        <w:tc>
          <w:tcPr>
            <w:tcW w:w="2374" w:type="dxa"/>
            <w:vMerge w:val="restart"/>
          </w:tcPr>
          <w:p>
            <w:pPr>
              <w:pStyle w:val="0"/>
              <w:jc w:val="center"/>
            </w:pPr>
            <w:r>
              <w:rPr>
                <w:sz w:val="20"/>
              </w:rPr>
              <w:t xml:space="preserve">Объем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 на год</w:t>
            </w:r>
          </w:p>
        </w:tc>
        <w:tc>
          <w:tcPr>
            <w:tcW w:w="1020" w:type="dxa"/>
            <w:vMerge w:val="restart"/>
          </w:tcPr>
          <w:p>
            <w:pPr>
              <w:pStyle w:val="0"/>
              <w:jc w:val="center"/>
            </w:pPr>
            <w:r>
              <w:rPr>
                <w:sz w:val="20"/>
              </w:rPr>
              <w:t xml:space="preserve">В том числе объем дополнительных средств</w:t>
            </w:r>
          </w:p>
        </w:tc>
        <w:tc>
          <w:tcPr>
            <w:tcW w:w="2374" w:type="dxa"/>
            <w:vMerge w:val="restart"/>
          </w:tcPr>
          <w:p>
            <w:pPr>
              <w:pStyle w:val="0"/>
              <w:jc w:val="center"/>
            </w:pPr>
            <w:r>
              <w:rPr>
                <w:sz w:val="20"/>
              </w:rPr>
              <w:t xml:space="preserve">Объем средств, распределенных в соответствии с Порядком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w:t>
            </w:r>
          </w:p>
        </w:tc>
        <w:tc>
          <w:tcPr>
            <w:gridSpan w:val="2"/>
            <w:tcW w:w="2438" w:type="dxa"/>
          </w:tcPr>
          <w:p>
            <w:pPr>
              <w:pStyle w:val="0"/>
              <w:jc w:val="center"/>
            </w:pPr>
            <w:r>
              <w:rPr>
                <w:sz w:val="20"/>
              </w:rPr>
              <w:t xml:space="preserve">В том числе</w:t>
            </w:r>
          </w:p>
        </w:tc>
        <w:tc>
          <w:tcPr>
            <w:tcW w:w="1304" w:type="dxa"/>
            <w:vMerge w:val="restart"/>
          </w:tcPr>
          <w:p>
            <w:pPr>
              <w:pStyle w:val="0"/>
              <w:jc w:val="center"/>
            </w:pPr>
            <w:r>
              <w:rPr>
                <w:sz w:val="20"/>
              </w:rPr>
              <w:t xml:space="preserve">Остаток нераспределенных средств субвенции</w:t>
            </w:r>
          </w:p>
        </w:tc>
      </w:tr>
      <w:tr>
        <w:tc>
          <w:tcPr>
            <w:vMerge w:val="continue"/>
          </w:tcPr>
          <w:p/>
        </w:tc>
        <w:tc>
          <w:tcPr>
            <w:vMerge w:val="continue"/>
          </w:tcPr>
          <w:p/>
        </w:tc>
        <w:tc>
          <w:tcPr>
            <w:vMerge w:val="continue"/>
          </w:tcPr>
          <w:p/>
        </w:tc>
        <w:tc>
          <w:tcPr>
            <w:vMerge w:val="continue"/>
          </w:tcPr>
          <w:p/>
        </w:tc>
        <w:tc>
          <w:tcPr>
            <w:tcW w:w="1304" w:type="dxa"/>
          </w:tcPr>
          <w:p>
            <w:pPr>
              <w:pStyle w:val="0"/>
              <w:jc w:val="center"/>
            </w:pPr>
            <w:r>
              <w:rPr>
                <w:sz w:val="20"/>
              </w:rPr>
              <w:t xml:space="preserve">по критерию "малокомплектность"</w:t>
            </w:r>
          </w:p>
        </w:tc>
        <w:tc>
          <w:tcPr>
            <w:tcW w:w="1134" w:type="dxa"/>
          </w:tcPr>
          <w:p>
            <w:pPr>
              <w:pStyle w:val="0"/>
              <w:jc w:val="center"/>
            </w:pPr>
            <w:r>
              <w:rPr>
                <w:sz w:val="20"/>
              </w:rPr>
              <w:t xml:space="preserve">по критерию "инновации"</w:t>
            </w:r>
          </w:p>
        </w:tc>
        <w:tc>
          <w:tcPr>
            <w:vMerge w:val="continue"/>
          </w:tcPr>
          <w:p/>
        </w:tc>
      </w:tr>
      <w:tr>
        <w:tc>
          <w:tcPr>
            <w:tcW w:w="1849" w:type="dxa"/>
            <w:vAlign w:val="center"/>
          </w:tcPr>
          <w:p>
            <w:pPr>
              <w:pStyle w:val="0"/>
              <w:jc w:val="center"/>
            </w:pPr>
            <w:r>
              <w:rPr>
                <w:sz w:val="20"/>
              </w:rPr>
              <w:t xml:space="preserve">1</w:t>
            </w:r>
          </w:p>
        </w:tc>
        <w:tc>
          <w:tcPr>
            <w:tcW w:w="2374" w:type="dxa"/>
            <w:vAlign w:val="center"/>
          </w:tcPr>
          <w:p>
            <w:pPr>
              <w:pStyle w:val="0"/>
              <w:jc w:val="center"/>
            </w:pPr>
            <w:r>
              <w:rPr>
                <w:sz w:val="20"/>
              </w:rPr>
              <w:t xml:space="preserve">2</w:t>
            </w:r>
          </w:p>
        </w:tc>
        <w:tc>
          <w:tcPr>
            <w:tcW w:w="1020" w:type="dxa"/>
            <w:vAlign w:val="center"/>
          </w:tcPr>
          <w:p>
            <w:pPr>
              <w:pStyle w:val="0"/>
              <w:jc w:val="center"/>
            </w:pPr>
            <w:r>
              <w:rPr>
                <w:sz w:val="20"/>
              </w:rPr>
              <w:t xml:space="preserve">3</w:t>
            </w:r>
          </w:p>
        </w:tc>
        <w:tc>
          <w:tcPr>
            <w:tcW w:w="2374" w:type="dxa"/>
            <w:vAlign w:val="center"/>
          </w:tcPr>
          <w:p>
            <w:pPr>
              <w:pStyle w:val="0"/>
              <w:jc w:val="center"/>
            </w:pPr>
            <w:r>
              <w:rPr>
                <w:sz w:val="20"/>
              </w:rPr>
              <w:t xml:space="preserve">4</w:t>
            </w:r>
          </w:p>
        </w:tc>
        <w:tc>
          <w:tcPr>
            <w:tcW w:w="1304" w:type="dxa"/>
            <w:vAlign w:val="center"/>
          </w:tcPr>
          <w:p>
            <w:pPr>
              <w:pStyle w:val="0"/>
              <w:jc w:val="center"/>
            </w:pPr>
            <w:r>
              <w:rPr>
                <w:sz w:val="20"/>
              </w:rPr>
              <w:t xml:space="preserve">5</w:t>
            </w:r>
          </w:p>
        </w:tc>
        <w:tc>
          <w:tcPr>
            <w:tcW w:w="1134" w:type="dxa"/>
            <w:vAlign w:val="center"/>
          </w:tcPr>
          <w:p>
            <w:pPr>
              <w:pStyle w:val="0"/>
              <w:jc w:val="center"/>
            </w:pPr>
            <w:r>
              <w:rPr>
                <w:sz w:val="20"/>
              </w:rPr>
              <w:t xml:space="preserve">6</w:t>
            </w:r>
          </w:p>
        </w:tc>
        <w:tc>
          <w:tcPr>
            <w:tcW w:w="1304" w:type="dxa"/>
            <w:vAlign w:val="center"/>
          </w:tcPr>
          <w:p>
            <w:pPr>
              <w:pStyle w:val="0"/>
              <w:jc w:val="center"/>
            </w:pPr>
            <w:r>
              <w:rPr>
                <w:sz w:val="20"/>
              </w:rPr>
              <w:t xml:space="preserve">7</w:t>
            </w:r>
          </w:p>
        </w:tc>
      </w:tr>
      <w:tr>
        <w:tc>
          <w:tcPr>
            <w:tcW w:w="1849" w:type="dxa"/>
            <w:vAlign w:val="center"/>
          </w:tcPr>
          <w:p>
            <w:pPr>
              <w:pStyle w:val="0"/>
            </w:pPr>
            <w:r>
              <w:rPr>
                <w:sz w:val="20"/>
              </w:rPr>
            </w:r>
          </w:p>
        </w:tc>
        <w:tc>
          <w:tcPr>
            <w:tcW w:w="2374" w:type="dxa"/>
            <w:vAlign w:val="center"/>
          </w:tcPr>
          <w:p>
            <w:pPr>
              <w:pStyle w:val="0"/>
            </w:pPr>
            <w:r>
              <w:rPr>
                <w:sz w:val="20"/>
              </w:rPr>
            </w:r>
          </w:p>
        </w:tc>
        <w:tc>
          <w:tcPr>
            <w:tcW w:w="1020" w:type="dxa"/>
            <w:vAlign w:val="center"/>
          </w:tcPr>
          <w:p>
            <w:pPr>
              <w:pStyle w:val="0"/>
            </w:pPr>
            <w:r>
              <w:rPr>
                <w:sz w:val="20"/>
              </w:rPr>
            </w:r>
          </w:p>
        </w:tc>
        <w:tc>
          <w:tcPr>
            <w:tcW w:w="2374" w:type="dxa"/>
            <w:vAlign w:val="center"/>
          </w:tcPr>
          <w:p>
            <w:pPr>
              <w:pStyle w:val="0"/>
            </w:pPr>
            <w:r>
              <w:rPr>
                <w:sz w:val="20"/>
              </w:rPr>
            </w:r>
          </w:p>
        </w:tc>
        <w:tc>
          <w:tcPr>
            <w:tcW w:w="1304" w:type="dxa"/>
            <w:vAlign w:val="center"/>
          </w:tcPr>
          <w:p>
            <w:pPr>
              <w:pStyle w:val="0"/>
            </w:pPr>
            <w:r>
              <w:rPr>
                <w:sz w:val="20"/>
              </w:rPr>
            </w:r>
          </w:p>
        </w:tc>
        <w:tc>
          <w:tcPr>
            <w:tcW w:w="1134" w:type="dxa"/>
            <w:vAlign w:val="center"/>
          </w:tcPr>
          <w:p>
            <w:pPr>
              <w:pStyle w:val="0"/>
            </w:pPr>
            <w:r>
              <w:rPr>
                <w:sz w:val="20"/>
              </w:rPr>
            </w:r>
          </w:p>
        </w:tc>
        <w:tc>
          <w:tcPr>
            <w:tcW w:w="1304" w:type="dxa"/>
            <w:vAlign w:val="center"/>
          </w:tcPr>
          <w:p>
            <w:pPr>
              <w:pStyle w:val="0"/>
            </w:pPr>
            <w:r>
              <w:rPr>
                <w:sz w:val="20"/>
              </w:rPr>
            </w:r>
          </w:p>
        </w:tc>
      </w:tr>
      <w:tr>
        <w:tc>
          <w:tcPr>
            <w:tcW w:w="1849" w:type="dxa"/>
            <w:vAlign w:val="center"/>
          </w:tcPr>
          <w:p>
            <w:pPr>
              <w:pStyle w:val="0"/>
            </w:pPr>
            <w:r>
              <w:rPr>
                <w:sz w:val="20"/>
              </w:rPr>
            </w:r>
          </w:p>
        </w:tc>
        <w:tc>
          <w:tcPr>
            <w:tcW w:w="2374" w:type="dxa"/>
            <w:vAlign w:val="center"/>
          </w:tcPr>
          <w:p>
            <w:pPr>
              <w:pStyle w:val="0"/>
            </w:pPr>
            <w:r>
              <w:rPr>
                <w:sz w:val="20"/>
              </w:rPr>
            </w:r>
          </w:p>
        </w:tc>
        <w:tc>
          <w:tcPr>
            <w:tcW w:w="1020" w:type="dxa"/>
            <w:vAlign w:val="center"/>
          </w:tcPr>
          <w:p>
            <w:pPr>
              <w:pStyle w:val="0"/>
            </w:pPr>
            <w:r>
              <w:rPr>
                <w:sz w:val="20"/>
              </w:rPr>
            </w:r>
          </w:p>
        </w:tc>
        <w:tc>
          <w:tcPr>
            <w:tcW w:w="2374" w:type="dxa"/>
            <w:vAlign w:val="center"/>
          </w:tcPr>
          <w:p>
            <w:pPr>
              <w:pStyle w:val="0"/>
            </w:pPr>
            <w:r>
              <w:rPr>
                <w:sz w:val="20"/>
              </w:rPr>
            </w:r>
          </w:p>
        </w:tc>
        <w:tc>
          <w:tcPr>
            <w:tcW w:w="1304" w:type="dxa"/>
            <w:vAlign w:val="center"/>
          </w:tcPr>
          <w:p>
            <w:pPr>
              <w:pStyle w:val="0"/>
            </w:pPr>
            <w:r>
              <w:rPr>
                <w:sz w:val="20"/>
              </w:rPr>
            </w:r>
          </w:p>
        </w:tc>
        <w:tc>
          <w:tcPr>
            <w:tcW w:w="1134" w:type="dxa"/>
            <w:vAlign w:val="center"/>
          </w:tcPr>
          <w:p>
            <w:pPr>
              <w:pStyle w:val="0"/>
            </w:pPr>
            <w:r>
              <w:rPr>
                <w:sz w:val="20"/>
              </w:rPr>
            </w:r>
          </w:p>
        </w:tc>
        <w:tc>
          <w:tcPr>
            <w:tcW w:w="1304" w:type="dxa"/>
            <w:vAlign w:val="center"/>
          </w:tcPr>
          <w:p>
            <w:pPr>
              <w:pStyle w:val="0"/>
            </w:pPr>
            <w:r>
              <w:rPr>
                <w:sz w:val="20"/>
              </w:rPr>
            </w:r>
          </w:p>
        </w:tc>
      </w:tr>
    </w:tbl>
    <w:p>
      <w:pPr>
        <w:sectPr>
          <w:headerReference w:type="default" r:id="rId105"/>
          <w:headerReference w:type="first" r:id="rId105"/>
          <w:footerReference w:type="default" r:id="rId106"/>
          <w:footerReference w:type="first" r:id="rId106"/>
          <w:pgSz w:w="16838" w:h="11906" w:orient="landscape"/>
          <w:pgMar w:top="1133" w:right="1440" w:bottom="566" w:left="1440" w:header="0" w:footer="0" w:gutter="0"/>
          <w:titlePg/>
        </w:sectPr>
      </w:pPr>
    </w:p>
    <w:p>
      <w:pPr>
        <w:pStyle w:val="0"/>
        <w:jc w:val="both"/>
      </w:pPr>
      <w:r>
        <w:rPr>
          <w:sz w:val="20"/>
        </w:rPr>
      </w:r>
    </w:p>
    <w:p>
      <w:pPr>
        <w:pStyle w:val="0"/>
        <w:jc w:val="both"/>
      </w:pPr>
      <w:r>
        <w:rPr>
          <w:sz w:val="20"/>
        </w:rPr>
        <w:t xml:space="preserve">СОГЛАСОВАНО:</w:t>
      </w:r>
    </w:p>
    <w:p>
      <w:pPr>
        <w:pStyle w:val="0"/>
        <w:jc w:val="both"/>
      </w:pPr>
      <w:r>
        <w:rPr>
          <w:sz w:val="20"/>
        </w:rPr>
      </w:r>
    </w:p>
    <w:p>
      <w:pPr>
        <w:pStyle w:val="0"/>
        <w:jc w:val="both"/>
      </w:pPr>
      <w:r>
        <w:rPr>
          <w:sz w:val="20"/>
        </w:rPr>
        <w:t xml:space="preserve">Руководитель исполнительно-распорядительного</w:t>
      </w:r>
    </w:p>
    <w:p>
      <w:pPr>
        <w:pStyle w:val="0"/>
        <w:spacing w:before="200" w:line-rule="auto"/>
        <w:jc w:val="both"/>
      </w:pPr>
      <w:r>
        <w:rPr>
          <w:sz w:val="20"/>
        </w:rPr>
        <w:t xml:space="preserve">органа муниципального образования Пермского края,</w:t>
      </w:r>
    </w:p>
    <w:p>
      <w:pPr>
        <w:pStyle w:val="0"/>
        <w:spacing w:before="200" w:line-rule="auto"/>
        <w:jc w:val="both"/>
      </w:pPr>
      <w:r>
        <w:rPr>
          <w:sz w:val="20"/>
        </w:rPr>
        <w:t xml:space="preserve">осуществляющего муниципальное управление в сфере образования ________/_________/</w:t>
      </w:r>
    </w:p>
    <w:p>
      <w:pPr>
        <w:pStyle w:val="0"/>
        <w:jc w:val="both"/>
      </w:pPr>
      <w:r>
        <w:rPr>
          <w:sz w:val="20"/>
        </w:rPr>
      </w:r>
    </w:p>
    <w:p>
      <w:pPr>
        <w:pStyle w:val="0"/>
        <w:jc w:val="both"/>
      </w:pPr>
      <w:r>
        <w:rPr>
          <w:sz w:val="20"/>
        </w:rPr>
        <w:t xml:space="preserve">Начальник финансовой службы исполнительно-распорядительного</w:t>
      </w:r>
    </w:p>
    <w:p>
      <w:pPr>
        <w:pStyle w:val="0"/>
        <w:spacing w:before="200" w:line-rule="auto"/>
        <w:jc w:val="both"/>
      </w:pPr>
      <w:r>
        <w:rPr>
          <w:sz w:val="20"/>
        </w:rPr>
        <w:t xml:space="preserve">органа муниципального образования Пермского края,</w:t>
      </w:r>
    </w:p>
    <w:p>
      <w:pPr>
        <w:pStyle w:val="0"/>
        <w:spacing w:before="200" w:line-rule="auto"/>
        <w:jc w:val="both"/>
      </w:pPr>
      <w:r>
        <w:rPr>
          <w:sz w:val="20"/>
        </w:rPr>
        <w:t xml:space="preserve">осуществляющего муниципальное управление</w:t>
      </w:r>
    </w:p>
    <w:p>
      <w:pPr>
        <w:pStyle w:val="0"/>
        <w:spacing w:before="200" w:line-rule="auto"/>
        <w:jc w:val="both"/>
      </w:pPr>
      <w:r>
        <w:rPr>
          <w:sz w:val="20"/>
        </w:rPr>
        <w:t xml:space="preserve">в сфере образования (главный бухгалтер) __________________/_______________/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 Пермского</w:t>
      </w:r>
    </w:p>
    <w:p>
      <w:pPr>
        <w:pStyle w:val="0"/>
        <w:jc w:val="right"/>
      </w:pPr>
      <w:r>
        <w:rPr>
          <w:sz w:val="20"/>
        </w:rPr>
        <w:t xml:space="preserve">края бюджетам муниципальных</w:t>
      </w:r>
    </w:p>
    <w:p>
      <w:pPr>
        <w:pStyle w:val="0"/>
        <w:jc w:val="right"/>
      </w:pPr>
      <w:r>
        <w:rPr>
          <w:sz w:val="20"/>
        </w:rPr>
        <w:t xml:space="preserve">районов, муниципальных</w:t>
      </w:r>
    </w:p>
    <w:p>
      <w:pPr>
        <w:pStyle w:val="0"/>
        <w:jc w:val="right"/>
      </w:pPr>
      <w:r>
        <w:rPr>
          <w:sz w:val="20"/>
        </w:rPr>
        <w:t xml:space="preserve">и городских округов</w:t>
      </w:r>
    </w:p>
    <w:p>
      <w:pPr>
        <w:pStyle w:val="0"/>
        <w:jc w:val="right"/>
      </w:pPr>
      <w:r>
        <w:rPr>
          <w:sz w:val="20"/>
        </w:rPr>
        <w:t xml:space="preserve">Пермского края на обеспечение</w:t>
      </w:r>
    </w:p>
    <w:p>
      <w:pPr>
        <w:pStyle w:val="0"/>
        <w:jc w:val="right"/>
      </w:pPr>
      <w:r>
        <w:rPr>
          <w:sz w:val="20"/>
        </w:rPr>
        <w:t xml:space="preserve">государственных гарантий</w:t>
      </w:r>
    </w:p>
    <w:p>
      <w:pPr>
        <w:pStyle w:val="0"/>
        <w:jc w:val="right"/>
      </w:pPr>
      <w:r>
        <w:rPr>
          <w:sz w:val="20"/>
        </w:rPr>
        <w:t xml:space="preserve">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начального</w:t>
      </w:r>
    </w:p>
    <w:p>
      <w:pPr>
        <w:pStyle w:val="0"/>
        <w:jc w:val="right"/>
      </w:pPr>
      <w:r>
        <w:rPr>
          <w:sz w:val="20"/>
        </w:rPr>
        <w:t xml:space="preserve">общего, основного общего,</w:t>
      </w:r>
    </w:p>
    <w:p>
      <w:pPr>
        <w:pStyle w:val="0"/>
        <w:jc w:val="right"/>
      </w:pPr>
      <w:r>
        <w:rPr>
          <w:sz w:val="20"/>
        </w:rPr>
        <w:t xml:space="preserve">среднего общего образования,</w:t>
      </w:r>
    </w:p>
    <w:p>
      <w:pPr>
        <w:pStyle w:val="0"/>
        <w:jc w:val="right"/>
      </w:pPr>
      <w:r>
        <w:rPr>
          <w:sz w:val="20"/>
        </w:rPr>
        <w:t xml:space="preserve">а также дополнительного</w:t>
      </w:r>
    </w:p>
    <w:p>
      <w:pPr>
        <w:pStyle w:val="0"/>
        <w:jc w:val="right"/>
      </w:pPr>
      <w:r>
        <w:rPr>
          <w:sz w:val="20"/>
        </w:rPr>
        <w:t xml:space="preserve">образования в муниципальных</w:t>
      </w:r>
    </w:p>
    <w:p>
      <w:pPr>
        <w:pStyle w:val="0"/>
        <w:jc w:val="right"/>
      </w:pPr>
      <w:r>
        <w:rPr>
          <w:sz w:val="20"/>
        </w:rPr>
        <w:t xml:space="preserve">общеобразовательных организациях</w:t>
      </w:r>
    </w:p>
    <w:p>
      <w:pPr>
        <w:pStyle w:val="0"/>
        <w:jc w:val="both"/>
      </w:pPr>
      <w:r>
        <w:rPr>
          <w:sz w:val="20"/>
        </w:rPr>
      </w:r>
    </w:p>
    <w:p>
      <w:pPr>
        <w:pStyle w:val="2"/>
        <w:jc w:val="center"/>
      </w:pPr>
      <w:r>
        <w:rPr>
          <w:sz w:val="20"/>
        </w:rPr>
        <w:t xml:space="preserve">РАЗМЕРЫ</w:t>
      </w:r>
    </w:p>
    <w:p>
      <w:pPr>
        <w:pStyle w:val="2"/>
        <w:jc w:val="center"/>
      </w:pPr>
      <w:r>
        <w:rPr>
          <w:sz w:val="20"/>
        </w:rPr>
        <w:t xml:space="preserve">вознаграждения за выполнение функций классного руководителя</w:t>
      </w:r>
    </w:p>
    <w:p>
      <w:pPr>
        <w:pStyle w:val="2"/>
        <w:jc w:val="center"/>
      </w:pPr>
      <w:r>
        <w:rPr>
          <w:sz w:val="20"/>
        </w:rPr>
        <w:t xml:space="preserve">педагогическим работникам муниципальных образовательных</w:t>
      </w:r>
    </w:p>
    <w:p>
      <w:pPr>
        <w:pStyle w:val="2"/>
        <w:jc w:val="center"/>
      </w:pPr>
      <w:r>
        <w:rPr>
          <w:sz w:val="20"/>
        </w:rPr>
        <w:t xml:space="preserve">организаций</w:t>
      </w:r>
    </w:p>
    <w:p>
      <w:pPr>
        <w:pStyle w:val="0"/>
        <w:jc w:val="both"/>
      </w:pPr>
      <w:r>
        <w:rPr>
          <w:sz w:val="20"/>
        </w:rPr>
      </w:r>
    </w:p>
    <w:p>
      <w:pPr>
        <w:pStyle w:val="0"/>
        <w:ind w:firstLine="540"/>
        <w:jc w:val="both"/>
      </w:pPr>
      <w:r>
        <w:rPr>
          <w:sz w:val="20"/>
        </w:rPr>
        <w:t xml:space="preserve">Утратили силу. - </w:t>
      </w:r>
      <w:hyperlink w:history="0" r:id="rId107" w:tooltip="Постановление Правительства Пермского края от 09.04.2020 N 19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w:t>
        </w:r>
      </w:hyperlink>
      <w:r>
        <w:rPr>
          <w:sz w:val="20"/>
        </w:rPr>
        <w:t xml:space="preserve"> Правительства Пермского края от 09.04.2020 N 194-п.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Порядку</w:t>
      </w:r>
    </w:p>
    <w:p>
      <w:pPr>
        <w:pStyle w:val="0"/>
        <w:jc w:val="right"/>
      </w:pPr>
      <w:r>
        <w:rPr>
          <w:sz w:val="20"/>
        </w:rPr>
        <w:t xml:space="preserve">предоставления и расходования</w:t>
      </w:r>
    </w:p>
    <w:p>
      <w:pPr>
        <w:pStyle w:val="0"/>
        <w:jc w:val="right"/>
      </w:pPr>
      <w:r>
        <w:rPr>
          <w:sz w:val="20"/>
        </w:rPr>
        <w:t xml:space="preserve">субвенции из бюджета</w:t>
      </w:r>
    </w:p>
    <w:p>
      <w:pPr>
        <w:pStyle w:val="0"/>
        <w:jc w:val="right"/>
      </w:pPr>
      <w:r>
        <w:rPr>
          <w:sz w:val="20"/>
        </w:rPr>
        <w:t xml:space="preserve">Пермского края бюджетам</w:t>
      </w:r>
    </w:p>
    <w:p>
      <w:pPr>
        <w:pStyle w:val="0"/>
        <w:jc w:val="right"/>
      </w:pPr>
      <w:r>
        <w:rPr>
          <w:sz w:val="20"/>
        </w:rPr>
        <w:t xml:space="preserve">муниципальных образований</w:t>
      </w:r>
    </w:p>
    <w:p>
      <w:pPr>
        <w:pStyle w:val="0"/>
        <w:jc w:val="right"/>
      </w:pPr>
      <w:r>
        <w:rPr>
          <w:sz w:val="20"/>
        </w:rPr>
        <w:t xml:space="preserve">Пермского края на обеспечение</w:t>
      </w:r>
    </w:p>
    <w:p>
      <w:pPr>
        <w:pStyle w:val="0"/>
        <w:jc w:val="right"/>
      </w:pPr>
      <w:r>
        <w:rPr>
          <w:sz w:val="20"/>
        </w:rPr>
        <w:t xml:space="preserve">государственных гарантий</w:t>
      </w:r>
    </w:p>
    <w:p>
      <w:pPr>
        <w:pStyle w:val="0"/>
        <w:jc w:val="right"/>
      </w:pPr>
      <w:r>
        <w:rPr>
          <w:sz w:val="20"/>
        </w:rPr>
        <w:t xml:space="preserve">реализации прав на получение</w:t>
      </w:r>
    </w:p>
    <w:p>
      <w:pPr>
        <w:pStyle w:val="0"/>
        <w:jc w:val="right"/>
      </w:pPr>
      <w:r>
        <w:rPr>
          <w:sz w:val="20"/>
        </w:rPr>
        <w:t xml:space="preserve">общедоступного и бесплатного</w:t>
      </w:r>
    </w:p>
    <w:p>
      <w:pPr>
        <w:pStyle w:val="0"/>
        <w:jc w:val="right"/>
      </w:pPr>
      <w:r>
        <w:rPr>
          <w:sz w:val="20"/>
        </w:rPr>
        <w:t xml:space="preserve">дошкольного, начального</w:t>
      </w:r>
    </w:p>
    <w:p>
      <w:pPr>
        <w:pStyle w:val="0"/>
        <w:jc w:val="right"/>
      </w:pPr>
      <w:r>
        <w:rPr>
          <w:sz w:val="20"/>
        </w:rPr>
        <w:t xml:space="preserve">общего, основного общего,</w:t>
      </w:r>
    </w:p>
    <w:p>
      <w:pPr>
        <w:pStyle w:val="0"/>
        <w:jc w:val="right"/>
      </w:pPr>
      <w:r>
        <w:rPr>
          <w:sz w:val="20"/>
        </w:rPr>
        <w:t xml:space="preserve">среднего общего образования,</w:t>
      </w:r>
    </w:p>
    <w:p>
      <w:pPr>
        <w:pStyle w:val="0"/>
        <w:jc w:val="right"/>
      </w:pPr>
      <w:r>
        <w:rPr>
          <w:sz w:val="20"/>
        </w:rPr>
        <w:t xml:space="preserve">а также дополнительного</w:t>
      </w:r>
    </w:p>
    <w:p>
      <w:pPr>
        <w:pStyle w:val="0"/>
        <w:jc w:val="right"/>
      </w:pPr>
      <w:r>
        <w:rPr>
          <w:sz w:val="20"/>
        </w:rPr>
        <w:t xml:space="preserve">образования в муниципальных</w:t>
      </w:r>
    </w:p>
    <w:p>
      <w:pPr>
        <w:pStyle w:val="0"/>
        <w:jc w:val="right"/>
      </w:pPr>
      <w:r>
        <w:rPr>
          <w:sz w:val="20"/>
        </w:rPr>
        <w:t xml:space="preserve">общеобразовательных организациях</w:t>
      </w:r>
    </w:p>
    <w:p>
      <w:pPr>
        <w:pStyle w:val="0"/>
        <w:jc w:val="both"/>
      </w:pPr>
      <w:r>
        <w:rPr>
          <w:sz w:val="20"/>
        </w:rPr>
      </w:r>
    </w:p>
    <w:bookmarkStart w:id="483" w:name="P483"/>
    <w:bookmarkEnd w:id="483"/>
    <w:p>
      <w:pPr>
        <w:pStyle w:val="2"/>
        <w:jc w:val="center"/>
      </w:pPr>
      <w:r>
        <w:rPr>
          <w:sz w:val="20"/>
        </w:rPr>
        <w:t xml:space="preserve">РАЗМЕРЫ</w:t>
      </w:r>
    </w:p>
    <w:p>
      <w:pPr>
        <w:pStyle w:val="2"/>
        <w:jc w:val="center"/>
      </w:pPr>
      <w:r>
        <w:rPr>
          <w:sz w:val="20"/>
        </w:rPr>
        <w:t xml:space="preserve">нормативов удельного веса расходов на выполнение</w:t>
      </w:r>
    </w:p>
    <w:p>
      <w:pPr>
        <w:pStyle w:val="2"/>
        <w:jc w:val="center"/>
      </w:pPr>
      <w:r>
        <w:rPr>
          <w:sz w:val="20"/>
        </w:rPr>
        <w:t xml:space="preserve">бухгалтерской функции от общего объема субвенции,</w:t>
      </w:r>
    </w:p>
    <w:p>
      <w:pPr>
        <w:pStyle w:val="2"/>
        <w:jc w:val="center"/>
      </w:pPr>
      <w:r>
        <w:rPr>
          <w:sz w:val="20"/>
        </w:rPr>
        <w:t xml:space="preserve">утвержденного законом Пермского края о бюджете Пермского</w:t>
      </w:r>
    </w:p>
    <w:p>
      <w:pPr>
        <w:pStyle w:val="2"/>
        <w:jc w:val="center"/>
      </w:pPr>
      <w:r>
        <w:rPr>
          <w:sz w:val="20"/>
        </w:rPr>
        <w:t xml:space="preserve">края на текущий финансовый год и на плановый период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(введены </w:t>
            </w:r>
            <w:hyperlink w:history="0" r:id="rId108" w:tooltip="Постановление Правительства Пермского края от 28.12.2022 N 116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Постановлением</w:t>
              </w:r>
            </w:hyperlink>
            <w:r>
              <w:rPr>
                <w:sz w:val="20"/>
                <w:color w:val="392c69"/>
              </w:rPr>
              <w:t xml:space="preserve"> Правительства Пермского края от 28.12.2022 N 1164-п;</w:t>
            </w:r>
          </w:p>
          <w:p>
            <w:pPr>
              <w:pStyle w:val="0"/>
              <w:jc w:val="center"/>
            </w:pPr>
            <w:r>
              <w:rPr>
                <w:sz w:val="20"/>
                <w:color w:val="392c69"/>
              </w:rPr>
              <w:t xml:space="preserve">в ред. </w:t>
            </w:r>
            <w:hyperlink w:history="0" r:id="rId109" w:tooltip="Постановление Правительства Пермского края от 10.05.2023 N 354-п &quot;О внесении изменений в отдельные постановления Правительства Пермского края в сфере образования&quot; {КонсультантПлюс}">
              <w:r>
                <w:rPr>
                  <w:sz w:val="20"/>
                  <w:color w:val="0000ff"/>
                </w:rPr>
                <w:t xml:space="preserve">Постановления</w:t>
              </w:r>
            </w:hyperlink>
            <w:r>
              <w:rPr>
                <w:sz w:val="20"/>
                <w:color w:val="392c69"/>
              </w:rPr>
              <w:t xml:space="preserve"> Правительства Пермского края от 10.05.2023 N 354-п)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7427"/>
        <w:gridCol w:w="1156"/>
      </w:tblGrid>
      <w:tr>
        <w:tc>
          <w:tcPr>
            <w:tcW w:w="454" w:type="dxa"/>
            <w:vAlign w:val="center"/>
          </w:tcPr>
          <w:p>
            <w:pPr>
              <w:pStyle w:val="0"/>
              <w:jc w:val="center"/>
            </w:pPr>
            <w:r>
              <w:rPr>
                <w:sz w:val="20"/>
              </w:rPr>
              <w:t xml:space="preserve">N п/п</w:t>
            </w:r>
          </w:p>
        </w:tc>
        <w:tc>
          <w:tcPr>
            <w:tcW w:w="7427" w:type="dxa"/>
            <w:vAlign w:val="center"/>
          </w:tcPr>
          <w:p>
            <w:pPr>
              <w:pStyle w:val="0"/>
              <w:jc w:val="center"/>
            </w:pPr>
            <w:r>
              <w:rPr>
                <w:sz w:val="20"/>
              </w:rPr>
              <w:t xml:space="preserve">Наименование муниципальных образований Пермского края</w:t>
            </w:r>
          </w:p>
        </w:tc>
        <w:tc>
          <w:tcPr>
            <w:tcW w:w="1156" w:type="dxa"/>
            <w:vAlign w:val="center"/>
          </w:tcPr>
          <w:p>
            <w:pPr>
              <w:pStyle w:val="0"/>
              <w:jc w:val="center"/>
            </w:pPr>
            <w:r>
              <w:rPr>
                <w:sz w:val="20"/>
              </w:rPr>
              <w:t xml:space="preserve">Норматив удельного веса, %</w:t>
            </w:r>
          </w:p>
        </w:tc>
      </w:tr>
      <w:tr>
        <w:tc>
          <w:tcPr>
            <w:tcW w:w="454" w:type="dxa"/>
            <w:vAlign w:val="center"/>
          </w:tcPr>
          <w:p>
            <w:pPr>
              <w:pStyle w:val="0"/>
              <w:jc w:val="center"/>
            </w:pPr>
            <w:r>
              <w:rPr>
                <w:sz w:val="20"/>
              </w:rPr>
              <w:t xml:space="preserve">1</w:t>
            </w:r>
          </w:p>
        </w:tc>
        <w:tc>
          <w:tcPr>
            <w:tcW w:w="7427" w:type="dxa"/>
            <w:vAlign w:val="center"/>
          </w:tcPr>
          <w:p>
            <w:pPr>
              <w:pStyle w:val="0"/>
              <w:jc w:val="center"/>
            </w:pPr>
            <w:r>
              <w:rPr>
                <w:sz w:val="20"/>
              </w:rPr>
              <w:t xml:space="preserve">2</w:t>
            </w:r>
          </w:p>
        </w:tc>
        <w:tc>
          <w:tcPr>
            <w:tcW w:w="1156" w:type="dxa"/>
            <w:vAlign w:val="center"/>
          </w:tcPr>
          <w:p>
            <w:pPr>
              <w:pStyle w:val="0"/>
              <w:jc w:val="center"/>
            </w:pPr>
            <w:r>
              <w:rPr>
                <w:sz w:val="20"/>
              </w:rPr>
              <w:t xml:space="preserve">3</w:t>
            </w:r>
          </w:p>
        </w:tc>
      </w:tr>
      <w:tr>
        <w:tc>
          <w:tcPr>
            <w:tcW w:w="454" w:type="dxa"/>
            <w:vAlign w:val="center"/>
          </w:tcPr>
          <w:p>
            <w:pPr>
              <w:pStyle w:val="0"/>
              <w:jc w:val="center"/>
            </w:pPr>
            <w:r>
              <w:rPr>
                <w:sz w:val="20"/>
              </w:rPr>
              <w:t xml:space="preserve">1</w:t>
            </w:r>
          </w:p>
        </w:tc>
        <w:tc>
          <w:tcPr>
            <w:tcW w:w="7427" w:type="dxa"/>
            <w:vAlign w:val="center"/>
          </w:tcPr>
          <w:p>
            <w:pPr>
              <w:pStyle w:val="0"/>
            </w:pPr>
            <w:r>
              <w:rPr>
                <w:sz w:val="20"/>
              </w:rPr>
              <w:t xml:space="preserve">Город Пермь</w:t>
            </w:r>
          </w:p>
        </w:tc>
        <w:tc>
          <w:tcPr>
            <w:tcW w:w="1156" w:type="dxa"/>
            <w:vAlign w:val="center"/>
          </w:tcPr>
          <w:p>
            <w:pPr>
              <w:pStyle w:val="0"/>
              <w:jc w:val="center"/>
            </w:pPr>
            <w:r>
              <w:rPr>
                <w:sz w:val="20"/>
              </w:rPr>
              <w:t xml:space="preserve">3,6</w:t>
            </w:r>
          </w:p>
        </w:tc>
      </w:tr>
      <w:tr>
        <w:tc>
          <w:tcPr>
            <w:tcW w:w="454" w:type="dxa"/>
            <w:vAlign w:val="center"/>
          </w:tcPr>
          <w:p>
            <w:pPr>
              <w:pStyle w:val="0"/>
              <w:jc w:val="center"/>
            </w:pPr>
            <w:r>
              <w:rPr>
                <w:sz w:val="20"/>
              </w:rPr>
              <w:t xml:space="preserve">2</w:t>
            </w:r>
          </w:p>
        </w:tc>
        <w:tc>
          <w:tcPr>
            <w:tcW w:w="7427" w:type="dxa"/>
            <w:vAlign w:val="center"/>
          </w:tcPr>
          <w:p>
            <w:pPr>
              <w:pStyle w:val="0"/>
            </w:pPr>
            <w:r>
              <w:rPr>
                <w:sz w:val="20"/>
              </w:rPr>
              <w:t xml:space="preserve">Александровский муниципальный округ Пермского края</w:t>
            </w:r>
          </w:p>
        </w:tc>
        <w:tc>
          <w:tcPr>
            <w:tcW w:w="1156" w:type="dxa"/>
            <w:vAlign w:val="center"/>
          </w:tcPr>
          <w:p>
            <w:pPr>
              <w:pStyle w:val="0"/>
              <w:jc w:val="center"/>
            </w:pPr>
            <w:r>
              <w:rPr>
                <w:sz w:val="20"/>
              </w:rPr>
              <w:t xml:space="preserve">2,38</w:t>
            </w:r>
          </w:p>
        </w:tc>
      </w:tr>
      <w:tr>
        <w:tc>
          <w:tcPr>
            <w:tcW w:w="454" w:type="dxa"/>
            <w:vAlign w:val="center"/>
          </w:tcPr>
          <w:p>
            <w:pPr>
              <w:pStyle w:val="0"/>
              <w:jc w:val="center"/>
            </w:pPr>
            <w:r>
              <w:rPr>
                <w:sz w:val="20"/>
              </w:rPr>
              <w:t xml:space="preserve">3</w:t>
            </w:r>
          </w:p>
        </w:tc>
        <w:tc>
          <w:tcPr>
            <w:tcW w:w="7427" w:type="dxa"/>
            <w:vAlign w:val="center"/>
          </w:tcPr>
          <w:p>
            <w:pPr>
              <w:pStyle w:val="0"/>
            </w:pPr>
            <w:r>
              <w:rPr>
                <w:sz w:val="20"/>
              </w:rPr>
              <w:t xml:space="preserve">Муниципальное образование "Город Березники" Пермского края</w:t>
            </w:r>
          </w:p>
        </w:tc>
        <w:tc>
          <w:tcPr>
            <w:tcW w:w="1156" w:type="dxa"/>
            <w:vAlign w:val="center"/>
          </w:tcPr>
          <w:p>
            <w:pPr>
              <w:pStyle w:val="0"/>
              <w:jc w:val="center"/>
            </w:pPr>
            <w:r>
              <w:rPr>
                <w:sz w:val="20"/>
              </w:rPr>
              <w:t xml:space="preserve">2,49</w:t>
            </w:r>
          </w:p>
        </w:tc>
      </w:tr>
      <w:tr>
        <w:tc>
          <w:tcPr>
            <w:tcW w:w="454" w:type="dxa"/>
            <w:vAlign w:val="center"/>
          </w:tcPr>
          <w:p>
            <w:pPr>
              <w:pStyle w:val="0"/>
              <w:jc w:val="center"/>
            </w:pPr>
            <w:r>
              <w:rPr>
                <w:sz w:val="20"/>
              </w:rPr>
              <w:t xml:space="preserve">4</w:t>
            </w:r>
          </w:p>
        </w:tc>
        <w:tc>
          <w:tcPr>
            <w:tcW w:w="7427" w:type="dxa"/>
            <w:vAlign w:val="center"/>
          </w:tcPr>
          <w:p>
            <w:pPr>
              <w:pStyle w:val="0"/>
            </w:pPr>
            <w:r>
              <w:rPr>
                <w:sz w:val="20"/>
              </w:rPr>
              <w:t xml:space="preserve">Губахинский муниципальный округ Пермского края</w:t>
            </w:r>
          </w:p>
        </w:tc>
        <w:tc>
          <w:tcPr>
            <w:tcW w:w="1156" w:type="dxa"/>
            <w:vAlign w:val="center"/>
          </w:tcPr>
          <w:p>
            <w:pPr>
              <w:pStyle w:val="0"/>
              <w:jc w:val="center"/>
            </w:pPr>
            <w:r>
              <w:rPr>
                <w:sz w:val="20"/>
              </w:rPr>
              <w:t xml:space="preserve">2,64</w:t>
            </w:r>
          </w:p>
        </w:tc>
      </w:tr>
      <w:tr>
        <w:tc>
          <w:tcPr>
            <w:tcW w:w="454" w:type="dxa"/>
            <w:vAlign w:val="center"/>
          </w:tcPr>
          <w:p>
            <w:pPr>
              <w:pStyle w:val="0"/>
              <w:jc w:val="center"/>
            </w:pPr>
            <w:r>
              <w:rPr>
                <w:sz w:val="20"/>
              </w:rPr>
              <w:t xml:space="preserve">5</w:t>
            </w:r>
          </w:p>
        </w:tc>
        <w:tc>
          <w:tcPr>
            <w:tcW w:w="7427" w:type="dxa"/>
            <w:vAlign w:val="center"/>
          </w:tcPr>
          <w:p>
            <w:pPr>
              <w:pStyle w:val="0"/>
            </w:pPr>
            <w:r>
              <w:rPr>
                <w:sz w:val="20"/>
              </w:rPr>
              <w:t xml:space="preserve">Добрянский городской округ Пермского края</w:t>
            </w:r>
          </w:p>
        </w:tc>
        <w:tc>
          <w:tcPr>
            <w:tcW w:w="1156" w:type="dxa"/>
            <w:vAlign w:val="center"/>
          </w:tcPr>
          <w:p>
            <w:pPr>
              <w:pStyle w:val="0"/>
              <w:jc w:val="center"/>
            </w:pPr>
            <w:r>
              <w:rPr>
                <w:sz w:val="20"/>
              </w:rPr>
              <w:t xml:space="preserve">2,87</w:t>
            </w:r>
          </w:p>
        </w:tc>
      </w:tr>
      <w:tr>
        <w:tc>
          <w:tcPr>
            <w:tcW w:w="454" w:type="dxa"/>
            <w:vAlign w:val="center"/>
          </w:tcPr>
          <w:p>
            <w:pPr>
              <w:pStyle w:val="0"/>
              <w:jc w:val="center"/>
            </w:pPr>
            <w:r>
              <w:rPr>
                <w:sz w:val="20"/>
              </w:rPr>
              <w:t xml:space="preserve">6</w:t>
            </w:r>
          </w:p>
        </w:tc>
        <w:tc>
          <w:tcPr>
            <w:tcW w:w="7427" w:type="dxa"/>
            <w:vAlign w:val="center"/>
          </w:tcPr>
          <w:p>
            <w:pPr>
              <w:pStyle w:val="0"/>
            </w:pPr>
            <w:r>
              <w:rPr>
                <w:sz w:val="20"/>
              </w:rPr>
              <w:t xml:space="preserve">Городской округ "Город Кизел"</w:t>
            </w:r>
          </w:p>
        </w:tc>
        <w:tc>
          <w:tcPr>
            <w:tcW w:w="1156" w:type="dxa"/>
            <w:vAlign w:val="center"/>
          </w:tcPr>
          <w:p>
            <w:pPr>
              <w:pStyle w:val="0"/>
              <w:jc w:val="center"/>
            </w:pPr>
            <w:r>
              <w:rPr>
                <w:sz w:val="20"/>
              </w:rPr>
              <w:t xml:space="preserve">2,08</w:t>
            </w:r>
          </w:p>
        </w:tc>
      </w:tr>
      <w:tr>
        <w:tc>
          <w:tcPr>
            <w:tcW w:w="454" w:type="dxa"/>
            <w:vAlign w:val="center"/>
          </w:tcPr>
          <w:p>
            <w:pPr>
              <w:pStyle w:val="0"/>
              <w:jc w:val="center"/>
            </w:pPr>
            <w:r>
              <w:rPr>
                <w:sz w:val="20"/>
              </w:rPr>
              <w:t xml:space="preserve">7</w:t>
            </w:r>
          </w:p>
        </w:tc>
        <w:tc>
          <w:tcPr>
            <w:tcW w:w="7427" w:type="dxa"/>
            <w:vAlign w:val="center"/>
          </w:tcPr>
          <w:p>
            <w:pPr>
              <w:pStyle w:val="0"/>
            </w:pPr>
            <w:r>
              <w:rPr>
                <w:sz w:val="20"/>
              </w:rPr>
              <w:t xml:space="preserve">Краснокамский городской округ Пермского края</w:t>
            </w:r>
          </w:p>
        </w:tc>
        <w:tc>
          <w:tcPr>
            <w:tcW w:w="1156" w:type="dxa"/>
            <w:vAlign w:val="center"/>
          </w:tcPr>
          <w:p>
            <w:pPr>
              <w:pStyle w:val="0"/>
              <w:jc w:val="center"/>
            </w:pPr>
            <w:r>
              <w:rPr>
                <w:sz w:val="20"/>
              </w:rPr>
              <w:t xml:space="preserve">2,77</w:t>
            </w:r>
          </w:p>
        </w:tc>
      </w:tr>
      <w:tr>
        <w:tc>
          <w:tcPr>
            <w:tcW w:w="454" w:type="dxa"/>
            <w:vAlign w:val="center"/>
          </w:tcPr>
          <w:p>
            <w:pPr>
              <w:pStyle w:val="0"/>
              <w:jc w:val="center"/>
            </w:pPr>
            <w:r>
              <w:rPr>
                <w:sz w:val="20"/>
              </w:rPr>
              <w:t xml:space="preserve">8</w:t>
            </w:r>
          </w:p>
        </w:tc>
        <w:tc>
          <w:tcPr>
            <w:tcW w:w="7427" w:type="dxa"/>
            <w:vAlign w:val="center"/>
          </w:tcPr>
          <w:p>
            <w:pPr>
              <w:pStyle w:val="0"/>
            </w:pPr>
            <w:r>
              <w:rPr>
                <w:sz w:val="20"/>
              </w:rPr>
              <w:t xml:space="preserve">Кунгурский муниципальный округ Пермского края</w:t>
            </w:r>
          </w:p>
        </w:tc>
        <w:tc>
          <w:tcPr>
            <w:tcW w:w="1156" w:type="dxa"/>
            <w:vAlign w:val="center"/>
          </w:tcPr>
          <w:p>
            <w:pPr>
              <w:pStyle w:val="0"/>
              <w:jc w:val="center"/>
            </w:pPr>
            <w:r>
              <w:rPr>
                <w:sz w:val="20"/>
              </w:rPr>
              <w:t xml:space="preserve">2,37</w:t>
            </w:r>
          </w:p>
        </w:tc>
      </w:tr>
      <w:tr>
        <w:tc>
          <w:tcPr>
            <w:tcW w:w="454" w:type="dxa"/>
            <w:vAlign w:val="center"/>
          </w:tcPr>
          <w:p>
            <w:pPr>
              <w:pStyle w:val="0"/>
              <w:jc w:val="center"/>
            </w:pPr>
            <w:r>
              <w:rPr>
                <w:sz w:val="20"/>
              </w:rPr>
              <w:t xml:space="preserve">9</w:t>
            </w:r>
          </w:p>
        </w:tc>
        <w:tc>
          <w:tcPr>
            <w:tcW w:w="7427" w:type="dxa"/>
            <w:vAlign w:val="center"/>
          </w:tcPr>
          <w:p>
            <w:pPr>
              <w:pStyle w:val="0"/>
            </w:pPr>
            <w:r>
              <w:rPr>
                <w:sz w:val="20"/>
              </w:rPr>
              <w:t xml:space="preserve">Лысьвенский городской округ Пермского края</w:t>
            </w:r>
          </w:p>
        </w:tc>
        <w:tc>
          <w:tcPr>
            <w:tcW w:w="1156" w:type="dxa"/>
            <w:vAlign w:val="center"/>
          </w:tcPr>
          <w:p>
            <w:pPr>
              <w:pStyle w:val="0"/>
              <w:jc w:val="center"/>
            </w:pPr>
            <w:r>
              <w:rPr>
                <w:sz w:val="20"/>
              </w:rPr>
              <w:t xml:space="preserve">2,41</w:t>
            </w:r>
          </w:p>
        </w:tc>
      </w:tr>
      <w:tr>
        <w:tc>
          <w:tcPr>
            <w:tcW w:w="454" w:type="dxa"/>
            <w:vAlign w:val="center"/>
          </w:tcPr>
          <w:p>
            <w:pPr>
              <w:pStyle w:val="0"/>
              <w:jc w:val="center"/>
            </w:pPr>
            <w:r>
              <w:rPr>
                <w:sz w:val="20"/>
              </w:rPr>
              <w:t xml:space="preserve">10</w:t>
            </w:r>
          </w:p>
        </w:tc>
        <w:tc>
          <w:tcPr>
            <w:tcW w:w="7427" w:type="dxa"/>
            <w:vAlign w:val="center"/>
          </w:tcPr>
          <w:p>
            <w:pPr>
              <w:pStyle w:val="0"/>
            </w:pPr>
            <w:r>
              <w:rPr>
                <w:sz w:val="20"/>
              </w:rPr>
              <w:t xml:space="preserve">Соликамский городской округ Пермского края</w:t>
            </w:r>
          </w:p>
        </w:tc>
        <w:tc>
          <w:tcPr>
            <w:tcW w:w="1156" w:type="dxa"/>
            <w:vAlign w:val="center"/>
          </w:tcPr>
          <w:p>
            <w:pPr>
              <w:pStyle w:val="0"/>
              <w:jc w:val="center"/>
            </w:pPr>
            <w:r>
              <w:rPr>
                <w:sz w:val="20"/>
              </w:rPr>
              <w:t xml:space="preserve">2,69</w:t>
            </w:r>
          </w:p>
        </w:tc>
      </w:tr>
      <w:tr>
        <w:tc>
          <w:tcPr>
            <w:tcW w:w="454" w:type="dxa"/>
            <w:vAlign w:val="center"/>
          </w:tcPr>
          <w:p>
            <w:pPr>
              <w:pStyle w:val="0"/>
              <w:jc w:val="center"/>
            </w:pPr>
            <w:r>
              <w:rPr>
                <w:sz w:val="20"/>
              </w:rPr>
              <w:t xml:space="preserve">11</w:t>
            </w:r>
          </w:p>
        </w:tc>
        <w:tc>
          <w:tcPr>
            <w:tcW w:w="7427" w:type="dxa"/>
            <w:vAlign w:val="center"/>
          </w:tcPr>
          <w:p>
            <w:pPr>
              <w:pStyle w:val="0"/>
            </w:pPr>
            <w:r>
              <w:rPr>
                <w:sz w:val="20"/>
              </w:rPr>
              <w:t xml:space="preserve">Чайковский городской округ Пермского края</w:t>
            </w:r>
          </w:p>
        </w:tc>
        <w:tc>
          <w:tcPr>
            <w:tcW w:w="1156" w:type="dxa"/>
            <w:vAlign w:val="center"/>
          </w:tcPr>
          <w:p>
            <w:pPr>
              <w:pStyle w:val="0"/>
              <w:jc w:val="center"/>
            </w:pPr>
            <w:r>
              <w:rPr>
                <w:sz w:val="20"/>
              </w:rPr>
              <w:t xml:space="preserve">2,62</w:t>
            </w:r>
          </w:p>
        </w:tc>
      </w:tr>
      <w:tr>
        <w:tc>
          <w:tcPr>
            <w:tcW w:w="454" w:type="dxa"/>
            <w:vAlign w:val="center"/>
          </w:tcPr>
          <w:p>
            <w:pPr>
              <w:pStyle w:val="0"/>
              <w:jc w:val="center"/>
            </w:pPr>
            <w:r>
              <w:rPr>
                <w:sz w:val="20"/>
              </w:rPr>
              <w:t xml:space="preserve">12</w:t>
            </w:r>
          </w:p>
        </w:tc>
        <w:tc>
          <w:tcPr>
            <w:tcW w:w="7427" w:type="dxa"/>
            <w:vAlign w:val="center"/>
          </w:tcPr>
          <w:p>
            <w:pPr>
              <w:pStyle w:val="0"/>
            </w:pPr>
            <w:r>
              <w:rPr>
                <w:sz w:val="20"/>
              </w:rPr>
              <w:t xml:space="preserve">Чусовской городской округ Пермского края</w:t>
            </w:r>
          </w:p>
        </w:tc>
        <w:tc>
          <w:tcPr>
            <w:tcW w:w="1156" w:type="dxa"/>
            <w:vAlign w:val="center"/>
          </w:tcPr>
          <w:p>
            <w:pPr>
              <w:pStyle w:val="0"/>
              <w:jc w:val="center"/>
            </w:pPr>
            <w:r>
              <w:rPr>
                <w:sz w:val="20"/>
              </w:rPr>
              <w:t xml:space="preserve">2,62</w:t>
            </w:r>
          </w:p>
        </w:tc>
      </w:tr>
      <w:tr>
        <w:tc>
          <w:tcPr>
            <w:tcW w:w="454" w:type="dxa"/>
            <w:vAlign w:val="center"/>
          </w:tcPr>
          <w:p>
            <w:pPr>
              <w:pStyle w:val="0"/>
              <w:jc w:val="center"/>
            </w:pPr>
            <w:r>
              <w:rPr>
                <w:sz w:val="20"/>
              </w:rPr>
              <w:t xml:space="preserve">13</w:t>
            </w:r>
          </w:p>
        </w:tc>
        <w:tc>
          <w:tcPr>
            <w:tcW w:w="7427" w:type="dxa"/>
            <w:vAlign w:val="center"/>
          </w:tcPr>
          <w:p>
            <w:pPr>
              <w:pStyle w:val="0"/>
            </w:pPr>
            <w:r>
              <w:rPr>
                <w:sz w:val="20"/>
              </w:rPr>
              <w:t xml:space="preserve">Бардымский муниципальный округ Пермского края</w:t>
            </w:r>
          </w:p>
        </w:tc>
        <w:tc>
          <w:tcPr>
            <w:tcW w:w="1156" w:type="dxa"/>
            <w:vAlign w:val="center"/>
          </w:tcPr>
          <w:p>
            <w:pPr>
              <w:pStyle w:val="0"/>
              <w:jc w:val="center"/>
            </w:pPr>
            <w:r>
              <w:rPr>
                <w:sz w:val="20"/>
              </w:rPr>
              <w:t xml:space="preserve">2,22</w:t>
            </w:r>
          </w:p>
        </w:tc>
      </w:tr>
      <w:tr>
        <w:tc>
          <w:tcPr>
            <w:tcW w:w="454" w:type="dxa"/>
            <w:vAlign w:val="center"/>
          </w:tcPr>
          <w:p>
            <w:pPr>
              <w:pStyle w:val="0"/>
              <w:jc w:val="center"/>
            </w:pPr>
            <w:r>
              <w:rPr>
                <w:sz w:val="20"/>
              </w:rPr>
              <w:t xml:space="preserve">14</w:t>
            </w:r>
          </w:p>
        </w:tc>
        <w:tc>
          <w:tcPr>
            <w:tcW w:w="7427" w:type="dxa"/>
            <w:vAlign w:val="center"/>
          </w:tcPr>
          <w:p>
            <w:pPr>
              <w:pStyle w:val="0"/>
            </w:pPr>
            <w:r>
              <w:rPr>
                <w:sz w:val="20"/>
              </w:rPr>
              <w:t xml:space="preserve">Березовский муниципальный округ Пермского края</w:t>
            </w:r>
          </w:p>
        </w:tc>
        <w:tc>
          <w:tcPr>
            <w:tcW w:w="1156" w:type="dxa"/>
            <w:vAlign w:val="center"/>
          </w:tcPr>
          <w:p>
            <w:pPr>
              <w:pStyle w:val="0"/>
              <w:jc w:val="center"/>
            </w:pPr>
            <w:r>
              <w:rPr>
                <w:sz w:val="20"/>
              </w:rPr>
              <w:t xml:space="preserve">1,93</w:t>
            </w:r>
          </w:p>
        </w:tc>
      </w:tr>
      <w:tr>
        <w:tc>
          <w:tcPr>
            <w:tcW w:w="454" w:type="dxa"/>
            <w:vAlign w:val="center"/>
          </w:tcPr>
          <w:p>
            <w:pPr>
              <w:pStyle w:val="0"/>
              <w:jc w:val="center"/>
            </w:pPr>
            <w:r>
              <w:rPr>
                <w:sz w:val="20"/>
              </w:rPr>
              <w:t xml:space="preserve">15</w:t>
            </w:r>
          </w:p>
        </w:tc>
        <w:tc>
          <w:tcPr>
            <w:tcW w:w="7427" w:type="dxa"/>
            <w:vAlign w:val="center"/>
          </w:tcPr>
          <w:p>
            <w:pPr>
              <w:pStyle w:val="0"/>
            </w:pPr>
            <w:r>
              <w:rPr>
                <w:sz w:val="20"/>
              </w:rPr>
              <w:t xml:space="preserve">Большесосновский муниципальный округ Пермского края</w:t>
            </w:r>
          </w:p>
        </w:tc>
        <w:tc>
          <w:tcPr>
            <w:tcW w:w="1156" w:type="dxa"/>
            <w:vAlign w:val="center"/>
          </w:tcPr>
          <w:p>
            <w:pPr>
              <w:pStyle w:val="0"/>
              <w:jc w:val="center"/>
            </w:pPr>
            <w:r>
              <w:rPr>
                <w:sz w:val="20"/>
              </w:rPr>
              <w:t xml:space="preserve">2,27</w:t>
            </w:r>
          </w:p>
        </w:tc>
      </w:tr>
      <w:tr>
        <w:tc>
          <w:tcPr>
            <w:tcW w:w="454" w:type="dxa"/>
            <w:vAlign w:val="center"/>
          </w:tcPr>
          <w:p>
            <w:pPr>
              <w:pStyle w:val="0"/>
              <w:jc w:val="center"/>
            </w:pPr>
            <w:r>
              <w:rPr>
                <w:sz w:val="20"/>
              </w:rPr>
              <w:t xml:space="preserve">16</w:t>
            </w:r>
          </w:p>
        </w:tc>
        <w:tc>
          <w:tcPr>
            <w:tcW w:w="7427" w:type="dxa"/>
            <w:vAlign w:val="center"/>
          </w:tcPr>
          <w:p>
            <w:pPr>
              <w:pStyle w:val="0"/>
            </w:pPr>
            <w:r>
              <w:rPr>
                <w:sz w:val="20"/>
              </w:rPr>
              <w:t xml:space="preserve">Муниципальное образование Верещагинский городской округ Пермского края</w:t>
            </w:r>
          </w:p>
        </w:tc>
        <w:tc>
          <w:tcPr>
            <w:tcW w:w="1156" w:type="dxa"/>
            <w:vAlign w:val="center"/>
          </w:tcPr>
          <w:p>
            <w:pPr>
              <w:pStyle w:val="0"/>
              <w:jc w:val="center"/>
            </w:pPr>
            <w:r>
              <w:rPr>
                <w:sz w:val="20"/>
              </w:rPr>
              <w:t xml:space="preserve">2,06</w:t>
            </w:r>
          </w:p>
        </w:tc>
      </w:tr>
      <w:tr>
        <w:tc>
          <w:tcPr>
            <w:tcW w:w="454" w:type="dxa"/>
            <w:vAlign w:val="center"/>
          </w:tcPr>
          <w:p>
            <w:pPr>
              <w:pStyle w:val="0"/>
              <w:jc w:val="center"/>
            </w:pPr>
            <w:r>
              <w:rPr>
                <w:sz w:val="20"/>
              </w:rPr>
              <w:t xml:space="preserve">17</w:t>
            </w:r>
          </w:p>
        </w:tc>
        <w:tc>
          <w:tcPr>
            <w:tcW w:w="7427" w:type="dxa"/>
            <w:vAlign w:val="center"/>
          </w:tcPr>
          <w:p>
            <w:pPr>
              <w:pStyle w:val="0"/>
            </w:pPr>
            <w:r>
              <w:rPr>
                <w:sz w:val="20"/>
              </w:rPr>
              <w:t xml:space="preserve">Горнозаводский городской округ Пермского края</w:t>
            </w:r>
          </w:p>
        </w:tc>
        <w:tc>
          <w:tcPr>
            <w:tcW w:w="1156" w:type="dxa"/>
            <w:vAlign w:val="center"/>
          </w:tcPr>
          <w:p>
            <w:pPr>
              <w:pStyle w:val="0"/>
              <w:jc w:val="center"/>
            </w:pPr>
            <w:r>
              <w:rPr>
                <w:sz w:val="20"/>
              </w:rPr>
              <w:t xml:space="preserve">2,86</w:t>
            </w:r>
          </w:p>
        </w:tc>
      </w:tr>
      <w:tr>
        <w:tc>
          <w:tcPr>
            <w:tcW w:w="454" w:type="dxa"/>
            <w:vAlign w:val="center"/>
          </w:tcPr>
          <w:p>
            <w:pPr>
              <w:pStyle w:val="0"/>
              <w:jc w:val="center"/>
            </w:pPr>
            <w:r>
              <w:rPr>
                <w:sz w:val="20"/>
              </w:rPr>
              <w:t xml:space="preserve">18</w:t>
            </w:r>
          </w:p>
        </w:tc>
        <w:tc>
          <w:tcPr>
            <w:tcW w:w="7427" w:type="dxa"/>
            <w:vAlign w:val="center"/>
          </w:tcPr>
          <w:p>
            <w:pPr>
              <w:pStyle w:val="0"/>
            </w:pPr>
            <w:r>
              <w:rPr>
                <w:sz w:val="20"/>
              </w:rPr>
              <w:t xml:space="preserve">Еловский муниципальный округ Пермского края</w:t>
            </w:r>
          </w:p>
        </w:tc>
        <w:tc>
          <w:tcPr>
            <w:tcW w:w="1156" w:type="dxa"/>
            <w:vAlign w:val="center"/>
          </w:tcPr>
          <w:p>
            <w:pPr>
              <w:pStyle w:val="0"/>
              <w:jc w:val="center"/>
            </w:pPr>
            <w:r>
              <w:rPr>
                <w:sz w:val="20"/>
              </w:rPr>
              <w:t xml:space="preserve">2,1</w:t>
            </w:r>
          </w:p>
        </w:tc>
      </w:tr>
      <w:tr>
        <w:tc>
          <w:tcPr>
            <w:tcW w:w="454" w:type="dxa"/>
            <w:vAlign w:val="center"/>
          </w:tcPr>
          <w:p>
            <w:pPr>
              <w:pStyle w:val="0"/>
              <w:jc w:val="center"/>
            </w:pPr>
            <w:r>
              <w:rPr>
                <w:sz w:val="20"/>
              </w:rPr>
              <w:t xml:space="preserve">19</w:t>
            </w:r>
          </w:p>
        </w:tc>
        <w:tc>
          <w:tcPr>
            <w:tcW w:w="7427" w:type="dxa"/>
            <w:vAlign w:val="center"/>
          </w:tcPr>
          <w:p>
            <w:pPr>
              <w:pStyle w:val="0"/>
            </w:pPr>
            <w:r>
              <w:rPr>
                <w:sz w:val="20"/>
              </w:rPr>
              <w:t xml:space="preserve">Ильинский городской округ Пермского края</w:t>
            </w:r>
          </w:p>
        </w:tc>
        <w:tc>
          <w:tcPr>
            <w:tcW w:w="1156" w:type="dxa"/>
            <w:vAlign w:val="center"/>
          </w:tcPr>
          <w:p>
            <w:pPr>
              <w:pStyle w:val="0"/>
              <w:jc w:val="center"/>
            </w:pPr>
            <w:r>
              <w:rPr>
                <w:sz w:val="20"/>
              </w:rPr>
              <w:t xml:space="preserve">1,98</w:t>
            </w:r>
          </w:p>
        </w:tc>
      </w:tr>
      <w:tr>
        <w:tc>
          <w:tcPr>
            <w:tcW w:w="454" w:type="dxa"/>
            <w:vAlign w:val="center"/>
          </w:tcPr>
          <w:p>
            <w:pPr>
              <w:pStyle w:val="0"/>
              <w:jc w:val="center"/>
            </w:pPr>
            <w:r>
              <w:rPr>
                <w:sz w:val="20"/>
              </w:rPr>
              <w:t xml:space="preserve">20</w:t>
            </w:r>
          </w:p>
        </w:tc>
        <w:tc>
          <w:tcPr>
            <w:tcW w:w="7427" w:type="dxa"/>
            <w:vAlign w:val="center"/>
          </w:tcPr>
          <w:p>
            <w:pPr>
              <w:pStyle w:val="0"/>
            </w:pPr>
            <w:r>
              <w:rPr>
                <w:sz w:val="20"/>
              </w:rPr>
              <w:t xml:space="preserve">Муниципальное образование Карагайский муниципальный округ Пермского края</w:t>
            </w:r>
          </w:p>
        </w:tc>
        <w:tc>
          <w:tcPr>
            <w:tcW w:w="1156" w:type="dxa"/>
            <w:vAlign w:val="center"/>
          </w:tcPr>
          <w:p>
            <w:pPr>
              <w:pStyle w:val="0"/>
              <w:jc w:val="center"/>
            </w:pPr>
            <w:r>
              <w:rPr>
                <w:sz w:val="20"/>
              </w:rPr>
              <w:t xml:space="preserve">2,7</w:t>
            </w:r>
          </w:p>
        </w:tc>
      </w:tr>
      <w:tr>
        <w:tc>
          <w:tcPr>
            <w:tcW w:w="454" w:type="dxa"/>
            <w:vAlign w:val="center"/>
          </w:tcPr>
          <w:p>
            <w:pPr>
              <w:pStyle w:val="0"/>
              <w:jc w:val="center"/>
            </w:pPr>
            <w:r>
              <w:rPr>
                <w:sz w:val="20"/>
              </w:rPr>
              <w:t xml:space="preserve">21</w:t>
            </w:r>
          </w:p>
        </w:tc>
        <w:tc>
          <w:tcPr>
            <w:tcW w:w="7427" w:type="dxa"/>
            <w:vAlign w:val="center"/>
          </w:tcPr>
          <w:p>
            <w:pPr>
              <w:pStyle w:val="0"/>
            </w:pPr>
            <w:r>
              <w:rPr>
                <w:sz w:val="20"/>
              </w:rPr>
              <w:t xml:space="preserve">Кишертский муниципальный округ Пермского края</w:t>
            </w:r>
          </w:p>
        </w:tc>
        <w:tc>
          <w:tcPr>
            <w:tcW w:w="1156" w:type="dxa"/>
            <w:vAlign w:val="center"/>
          </w:tcPr>
          <w:p>
            <w:pPr>
              <w:pStyle w:val="0"/>
              <w:jc w:val="center"/>
            </w:pPr>
            <w:r>
              <w:rPr>
                <w:sz w:val="20"/>
              </w:rPr>
              <w:t xml:space="preserve">2,17</w:t>
            </w:r>
          </w:p>
        </w:tc>
      </w:tr>
      <w:tr>
        <w:tc>
          <w:tcPr>
            <w:tcW w:w="454" w:type="dxa"/>
            <w:vAlign w:val="center"/>
          </w:tcPr>
          <w:p>
            <w:pPr>
              <w:pStyle w:val="0"/>
              <w:jc w:val="center"/>
            </w:pPr>
            <w:r>
              <w:rPr>
                <w:sz w:val="20"/>
              </w:rPr>
              <w:t xml:space="preserve">22</w:t>
            </w:r>
          </w:p>
        </w:tc>
        <w:tc>
          <w:tcPr>
            <w:tcW w:w="7427" w:type="dxa"/>
            <w:vAlign w:val="center"/>
          </w:tcPr>
          <w:p>
            <w:pPr>
              <w:pStyle w:val="0"/>
            </w:pPr>
            <w:r>
              <w:rPr>
                <w:sz w:val="20"/>
              </w:rPr>
              <w:t xml:space="preserve">Куединский муниципальный округ Пермского края</w:t>
            </w:r>
          </w:p>
        </w:tc>
        <w:tc>
          <w:tcPr>
            <w:tcW w:w="1156" w:type="dxa"/>
            <w:vAlign w:val="center"/>
          </w:tcPr>
          <w:p>
            <w:pPr>
              <w:pStyle w:val="0"/>
              <w:jc w:val="center"/>
            </w:pPr>
            <w:r>
              <w:rPr>
                <w:sz w:val="20"/>
              </w:rPr>
              <w:t xml:space="preserve">2,25</w:t>
            </w:r>
          </w:p>
        </w:tc>
      </w:tr>
      <w:tr>
        <w:tc>
          <w:tcPr>
            <w:tcW w:w="454" w:type="dxa"/>
            <w:vAlign w:val="center"/>
          </w:tcPr>
          <w:p>
            <w:pPr>
              <w:pStyle w:val="0"/>
              <w:jc w:val="center"/>
            </w:pPr>
            <w:r>
              <w:rPr>
                <w:sz w:val="20"/>
              </w:rPr>
              <w:t xml:space="preserve">23</w:t>
            </w:r>
          </w:p>
        </w:tc>
        <w:tc>
          <w:tcPr>
            <w:tcW w:w="7427" w:type="dxa"/>
            <w:vAlign w:val="center"/>
          </w:tcPr>
          <w:p>
            <w:pPr>
              <w:pStyle w:val="0"/>
            </w:pPr>
            <w:r>
              <w:rPr>
                <w:sz w:val="20"/>
              </w:rPr>
              <w:t xml:space="preserve">Красновишерский городской округ Пермского края</w:t>
            </w:r>
          </w:p>
        </w:tc>
        <w:tc>
          <w:tcPr>
            <w:tcW w:w="1156" w:type="dxa"/>
            <w:vAlign w:val="center"/>
          </w:tcPr>
          <w:p>
            <w:pPr>
              <w:pStyle w:val="0"/>
              <w:jc w:val="center"/>
            </w:pPr>
            <w:r>
              <w:rPr>
                <w:sz w:val="20"/>
              </w:rPr>
              <w:t xml:space="preserve">2,37</w:t>
            </w:r>
          </w:p>
        </w:tc>
      </w:tr>
      <w:tr>
        <w:tc>
          <w:tcPr>
            <w:tcW w:w="454" w:type="dxa"/>
            <w:vAlign w:val="center"/>
          </w:tcPr>
          <w:p>
            <w:pPr>
              <w:pStyle w:val="0"/>
              <w:jc w:val="center"/>
            </w:pPr>
            <w:r>
              <w:rPr>
                <w:sz w:val="20"/>
              </w:rPr>
              <w:t xml:space="preserve">24</w:t>
            </w:r>
          </w:p>
        </w:tc>
        <w:tc>
          <w:tcPr>
            <w:tcW w:w="7427" w:type="dxa"/>
            <w:vAlign w:val="center"/>
          </w:tcPr>
          <w:p>
            <w:pPr>
              <w:pStyle w:val="0"/>
            </w:pPr>
            <w:r>
              <w:rPr>
                <w:sz w:val="20"/>
              </w:rPr>
              <w:t xml:space="preserve">Нытвенский городской округ Пермского края</w:t>
            </w:r>
          </w:p>
        </w:tc>
        <w:tc>
          <w:tcPr>
            <w:tcW w:w="1156" w:type="dxa"/>
            <w:vAlign w:val="center"/>
          </w:tcPr>
          <w:p>
            <w:pPr>
              <w:pStyle w:val="0"/>
              <w:jc w:val="center"/>
            </w:pPr>
            <w:r>
              <w:rPr>
                <w:sz w:val="20"/>
              </w:rPr>
              <w:t xml:space="preserve">2,38</w:t>
            </w:r>
          </w:p>
        </w:tc>
      </w:tr>
      <w:tr>
        <w:tc>
          <w:tcPr>
            <w:tcW w:w="454" w:type="dxa"/>
            <w:vAlign w:val="center"/>
          </w:tcPr>
          <w:p>
            <w:pPr>
              <w:pStyle w:val="0"/>
              <w:jc w:val="center"/>
            </w:pPr>
            <w:r>
              <w:rPr>
                <w:sz w:val="20"/>
              </w:rPr>
              <w:t xml:space="preserve">25</w:t>
            </w:r>
          </w:p>
        </w:tc>
        <w:tc>
          <w:tcPr>
            <w:tcW w:w="7427" w:type="dxa"/>
            <w:vAlign w:val="center"/>
          </w:tcPr>
          <w:p>
            <w:pPr>
              <w:pStyle w:val="0"/>
            </w:pPr>
            <w:r>
              <w:rPr>
                <w:sz w:val="20"/>
              </w:rPr>
              <w:t xml:space="preserve">Октябрьский городской округ Пермского края</w:t>
            </w:r>
          </w:p>
        </w:tc>
        <w:tc>
          <w:tcPr>
            <w:tcW w:w="1156" w:type="dxa"/>
            <w:vAlign w:val="center"/>
          </w:tcPr>
          <w:p>
            <w:pPr>
              <w:pStyle w:val="0"/>
              <w:jc w:val="center"/>
            </w:pPr>
            <w:r>
              <w:rPr>
                <w:sz w:val="20"/>
              </w:rPr>
              <w:t xml:space="preserve">3,33</w:t>
            </w:r>
          </w:p>
        </w:tc>
      </w:tr>
      <w:tr>
        <w:tc>
          <w:tcPr>
            <w:tcW w:w="454" w:type="dxa"/>
            <w:vAlign w:val="center"/>
          </w:tcPr>
          <w:p>
            <w:pPr>
              <w:pStyle w:val="0"/>
              <w:jc w:val="center"/>
            </w:pPr>
            <w:r>
              <w:rPr>
                <w:sz w:val="20"/>
              </w:rPr>
              <w:t xml:space="preserve">26</w:t>
            </w:r>
          </w:p>
        </w:tc>
        <w:tc>
          <w:tcPr>
            <w:tcW w:w="7427" w:type="dxa"/>
            <w:vAlign w:val="center"/>
          </w:tcPr>
          <w:p>
            <w:pPr>
              <w:pStyle w:val="0"/>
            </w:pPr>
            <w:r>
              <w:rPr>
                <w:sz w:val="20"/>
              </w:rPr>
              <w:t xml:space="preserve">Осинский городской округ Пермского края</w:t>
            </w:r>
          </w:p>
        </w:tc>
        <w:tc>
          <w:tcPr>
            <w:tcW w:w="1156" w:type="dxa"/>
            <w:vAlign w:val="center"/>
          </w:tcPr>
          <w:p>
            <w:pPr>
              <w:pStyle w:val="0"/>
              <w:jc w:val="center"/>
            </w:pPr>
            <w:r>
              <w:rPr>
                <w:sz w:val="20"/>
              </w:rPr>
              <w:t xml:space="preserve">2,24</w:t>
            </w:r>
          </w:p>
        </w:tc>
      </w:tr>
      <w:tr>
        <w:tc>
          <w:tcPr>
            <w:tcW w:w="454" w:type="dxa"/>
            <w:vAlign w:val="center"/>
          </w:tcPr>
          <w:p>
            <w:pPr>
              <w:pStyle w:val="0"/>
              <w:jc w:val="center"/>
            </w:pPr>
            <w:r>
              <w:rPr>
                <w:sz w:val="20"/>
              </w:rPr>
              <w:t xml:space="preserve">27</w:t>
            </w:r>
          </w:p>
        </w:tc>
        <w:tc>
          <w:tcPr>
            <w:tcW w:w="7427" w:type="dxa"/>
            <w:vAlign w:val="center"/>
          </w:tcPr>
          <w:p>
            <w:pPr>
              <w:pStyle w:val="0"/>
            </w:pPr>
            <w:r>
              <w:rPr>
                <w:sz w:val="20"/>
              </w:rPr>
              <w:t xml:space="preserve">Ординский муниципальный округ Пермского края</w:t>
            </w:r>
          </w:p>
        </w:tc>
        <w:tc>
          <w:tcPr>
            <w:tcW w:w="1156" w:type="dxa"/>
            <w:vAlign w:val="center"/>
          </w:tcPr>
          <w:p>
            <w:pPr>
              <w:pStyle w:val="0"/>
              <w:jc w:val="center"/>
            </w:pPr>
            <w:r>
              <w:rPr>
                <w:sz w:val="20"/>
              </w:rPr>
              <w:t xml:space="preserve">2,44</w:t>
            </w:r>
          </w:p>
        </w:tc>
      </w:tr>
      <w:tr>
        <w:tc>
          <w:tcPr>
            <w:tcW w:w="454" w:type="dxa"/>
            <w:vAlign w:val="center"/>
          </w:tcPr>
          <w:p>
            <w:pPr>
              <w:pStyle w:val="0"/>
              <w:jc w:val="center"/>
            </w:pPr>
            <w:r>
              <w:rPr>
                <w:sz w:val="20"/>
              </w:rPr>
              <w:t xml:space="preserve">28</w:t>
            </w:r>
          </w:p>
        </w:tc>
        <w:tc>
          <w:tcPr>
            <w:tcW w:w="7427" w:type="dxa"/>
            <w:vAlign w:val="center"/>
          </w:tcPr>
          <w:p>
            <w:pPr>
              <w:pStyle w:val="0"/>
            </w:pPr>
            <w:r>
              <w:rPr>
                <w:sz w:val="20"/>
              </w:rPr>
              <w:t xml:space="preserve">Оханский городской округ Пермского края</w:t>
            </w:r>
          </w:p>
        </w:tc>
        <w:tc>
          <w:tcPr>
            <w:tcW w:w="1156" w:type="dxa"/>
            <w:vAlign w:val="center"/>
          </w:tcPr>
          <w:p>
            <w:pPr>
              <w:pStyle w:val="0"/>
              <w:jc w:val="center"/>
            </w:pPr>
            <w:r>
              <w:rPr>
                <w:sz w:val="20"/>
              </w:rPr>
              <w:t xml:space="preserve">2,65</w:t>
            </w:r>
          </w:p>
        </w:tc>
      </w:tr>
      <w:tr>
        <w:tc>
          <w:tcPr>
            <w:tcW w:w="454" w:type="dxa"/>
            <w:vAlign w:val="center"/>
          </w:tcPr>
          <w:p>
            <w:pPr>
              <w:pStyle w:val="0"/>
              <w:jc w:val="center"/>
            </w:pPr>
            <w:r>
              <w:rPr>
                <w:sz w:val="20"/>
              </w:rPr>
              <w:t xml:space="preserve">29</w:t>
            </w:r>
          </w:p>
        </w:tc>
        <w:tc>
          <w:tcPr>
            <w:tcW w:w="7427" w:type="dxa"/>
            <w:vAlign w:val="center"/>
          </w:tcPr>
          <w:p>
            <w:pPr>
              <w:pStyle w:val="0"/>
            </w:pPr>
            <w:r>
              <w:rPr>
                <w:sz w:val="20"/>
              </w:rPr>
              <w:t xml:space="preserve">Очерский городской округ Пермского края</w:t>
            </w:r>
          </w:p>
        </w:tc>
        <w:tc>
          <w:tcPr>
            <w:tcW w:w="1156" w:type="dxa"/>
            <w:vAlign w:val="center"/>
          </w:tcPr>
          <w:p>
            <w:pPr>
              <w:pStyle w:val="0"/>
              <w:jc w:val="center"/>
            </w:pPr>
            <w:r>
              <w:rPr>
                <w:sz w:val="20"/>
              </w:rPr>
              <w:t xml:space="preserve">2,86</w:t>
            </w:r>
          </w:p>
        </w:tc>
      </w:tr>
      <w:tr>
        <w:tc>
          <w:tcPr>
            <w:tcW w:w="454" w:type="dxa"/>
            <w:vAlign w:val="center"/>
          </w:tcPr>
          <w:p>
            <w:pPr>
              <w:pStyle w:val="0"/>
              <w:jc w:val="center"/>
            </w:pPr>
            <w:r>
              <w:rPr>
                <w:sz w:val="20"/>
              </w:rPr>
              <w:t xml:space="preserve">30</w:t>
            </w:r>
          </w:p>
        </w:tc>
        <w:tc>
          <w:tcPr>
            <w:tcW w:w="7427" w:type="dxa"/>
            <w:vAlign w:val="center"/>
          </w:tcPr>
          <w:p>
            <w:pPr>
              <w:pStyle w:val="0"/>
            </w:pPr>
            <w:r>
              <w:rPr>
                <w:sz w:val="20"/>
              </w:rPr>
              <w:t xml:space="preserve">Пермский муниципальный округ Пермского края</w:t>
            </w:r>
          </w:p>
        </w:tc>
        <w:tc>
          <w:tcPr>
            <w:tcW w:w="1156" w:type="dxa"/>
            <w:vAlign w:val="center"/>
          </w:tcPr>
          <w:p>
            <w:pPr>
              <w:pStyle w:val="0"/>
              <w:jc w:val="center"/>
            </w:pPr>
            <w:r>
              <w:rPr>
                <w:sz w:val="20"/>
              </w:rPr>
              <w:t xml:space="preserve">3,11</w:t>
            </w:r>
          </w:p>
        </w:tc>
      </w:tr>
      <w:tr>
        <w:tc>
          <w:tcPr>
            <w:tcW w:w="454" w:type="dxa"/>
            <w:vAlign w:val="center"/>
          </w:tcPr>
          <w:p>
            <w:pPr>
              <w:pStyle w:val="0"/>
              <w:jc w:val="center"/>
            </w:pPr>
            <w:r>
              <w:rPr>
                <w:sz w:val="20"/>
              </w:rPr>
              <w:t xml:space="preserve">31</w:t>
            </w:r>
          </w:p>
        </w:tc>
        <w:tc>
          <w:tcPr>
            <w:tcW w:w="7427" w:type="dxa"/>
            <w:vAlign w:val="center"/>
          </w:tcPr>
          <w:p>
            <w:pPr>
              <w:pStyle w:val="0"/>
            </w:pPr>
            <w:r>
              <w:rPr>
                <w:sz w:val="20"/>
              </w:rPr>
              <w:t xml:space="preserve">Сивинский муниципальный округ Пермского края</w:t>
            </w:r>
          </w:p>
        </w:tc>
        <w:tc>
          <w:tcPr>
            <w:tcW w:w="1156" w:type="dxa"/>
            <w:vAlign w:val="center"/>
          </w:tcPr>
          <w:p>
            <w:pPr>
              <w:pStyle w:val="0"/>
              <w:jc w:val="center"/>
            </w:pPr>
            <w:r>
              <w:rPr>
                <w:sz w:val="20"/>
              </w:rPr>
              <w:t xml:space="preserve">2,24</w:t>
            </w:r>
          </w:p>
        </w:tc>
      </w:tr>
      <w:tr>
        <w:tc>
          <w:tcPr>
            <w:tcW w:w="454" w:type="dxa"/>
            <w:vAlign w:val="center"/>
          </w:tcPr>
          <w:p>
            <w:pPr>
              <w:pStyle w:val="0"/>
              <w:jc w:val="center"/>
            </w:pPr>
            <w:r>
              <w:rPr>
                <w:sz w:val="20"/>
              </w:rPr>
              <w:t xml:space="preserve">32</w:t>
            </w:r>
          </w:p>
        </w:tc>
        <w:tc>
          <w:tcPr>
            <w:tcW w:w="7427" w:type="dxa"/>
            <w:vAlign w:val="center"/>
          </w:tcPr>
          <w:p>
            <w:pPr>
              <w:pStyle w:val="0"/>
            </w:pPr>
            <w:r>
              <w:rPr>
                <w:sz w:val="20"/>
              </w:rPr>
              <w:t xml:space="preserve">Суксунский городской округ Пермского края</w:t>
            </w:r>
          </w:p>
        </w:tc>
        <w:tc>
          <w:tcPr>
            <w:tcW w:w="1156" w:type="dxa"/>
            <w:vAlign w:val="center"/>
          </w:tcPr>
          <w:p>
            <w:pPr>
              <w:pStyle w:val="0"/>
              <w:jc w:val="center"/>
            </w:pPr>
            <w:r>
              <w:rPr>
                <w:sz w:val="20"/>
              </w:rPr>
              <w:t xml:space="preserve">2,73</w:t>
            </w:r>
          </w:p>
        </w:tc>
      </w:tr>
      <w:tr>
        <w:tc>
          <w:tcPr>
            <w:tcW w:w="454" w:type="dxa"/>
            <w:vAlign w:val="center"/>
          </w:tcPr>
          <w:p>
            <w:pPr>
              <w:pStyle w:val="0"/>
              <w:jc w:val="center"/>
            </w:pPr>
            <w:r>
              <w:rPr>
                <w:sz w:val="20"/>
              </w:rPr>
              <w:t xml:space="preserve">33</w:t>
            </w:r>
          </w:p>
        </w:tc>
        <w:tc>
          <w:tcPr>
            <w:tcW w:w="7427" w:type="dxa"/>
            <w:vAlign w:val="center"/>
          </w:tcPr>
          <w:p>
            <w:pPr>
              <w:pStyle w:val="0"/>
            </w:pPr>
            <w:r>
              <w:rPr>
                <w:sz w:val="20"/>
              </w:rPr>
              <w:t xml:space="preserve">Уинский муниципальный округ Пермского края</w:t>
            </w:r>
          </w:p>
        </w:tc>
        <w:tc>
          <w:tcPr>
            <w:tcW w:w="1156" w:type="dxa"/>
            <w:vAlign w:val="center"/>
          </w:tcPr>
          <w:p>
            <w:pPr>
              <w:pStyle w:val="0"/>
              <w:jc w:val="center"/>
            </w:pPr>
            <w:r>
              <w:rPr>
                <w:sz w:val="20"/>
              </w:rPr>
              <w:t xml:space="preserve">2,42</w:t>
            </w:r>
          </w:p>
        </w:tc>
      </w:tr>
      <w:tr>
        <w:tc>
          <w:tcPr>
            <w:tcW w:w="454" w:type="dxa"/>
            <w:vAlign w:val="center"/>
          </w:tcPr>
          <w:p>
            <w:pPr>
              <w:pStyle w:val="0"/>
              <w:jc w:val="center"/>
            </w:pPr>
            <w:r>
              <w:rPr>
                <w:sz w:val="20"/>
              </w:rPr>
              <w:t xml:space="preserve">34</w:t>
            </w:r>
          </w:p>
        </w:tc>
        <w:tc>
          <w:tcPr>
            <w:tcW w:w="7427" w:type="dxa"/>
            <w:vAlign w:val="center"/>
          </w:tcPr>
          <w:p>
            <w:pPr>
              <w:pStyle w:val="0"/>
            </w:pPr>
            <w:r>
              <w:rPr>
                <w:sz w:val="20"/>
              </w:rPr>
              <w:t xml:space="preserve">Частинский муниципальный округ Пермского края</w:t>
            </w:r>
          </w:p>
        </w:tc>
        <w:tc>
          <w:tcPr>
            <w:tcW w:w="1156" w:type="dxa"/>
            <w:vAlign w:val="center"/>
          </w:tcPr>
          <w:p>
            <w:pPr>
              <w:pStyle w:val="0"/>
              <w:jc w:val="center"/>
            </w:pPr>
            <w:r>
              <w:rPr>
                <w:sz w:val="20"/>
              </w:rPr>
              <w:t xml:space="preserve">2,09</w:t>
            </w:r>
          </w:p>
        </w:tc>
      </w:tr>
      <w:tr>
        <w:tc>
          <w:tcPr>
            <w:tcW w:w="454" w:type="dxa"/>
            <w:vAlign w:val="center"/>
          </w:tcPr>
          <w:p>
            <w:pPr>
              <w:pStyle w:val="0"/>
              <w:jc w:val="center"/>
            </w:pPr>
            <w:r>
              <w:rPr>
                <w:sz w:val="20"/>
              </w:rPr>
              <w:t xml:space="preserve">35</w:t>
            </w:r>
          </w:p>
        </w:tc>
        <w:tc>
          <w:tcPr>
            <w:tcW w:w="7427" w:type="dxa"/>
            <w:vAlign w:val="center"/>
          </w:tcPr>
          <w:p>
            <w:pPr>
              <w:pStyle w:val="0"/>
            </w:pPr>
            <w:r>
              <w:rPr>
                <w:sz w:val="20"/>
              </w:rPr>
              <w:t xml:space="preserve">Чердынский городской округ Пермского края</w:t>
            </w:r>
          </w:p>
        </w:tc>
        <w:tc>
          <w:tcPr>
            <w:tcW w:w="1156" w:type="dxa"/>
            <w:vAlign w:val="center"/>
          </w:tcPr>
          <w:p>
            <w:pPr>
              <w:pStyle w:val="0"/>
              <w:jc w:val="center"/>
            </w:pPr>
            <w:r>
              <w:rPr>
                <w:sz w:val="20"/>
              </w:rPr>
              <w:t xml:space="preserve">2,93</w:t>
            </w:r>
          </w:p>
        </w:tc>
      </w:tr>
      <w:tr>
        <w:tc>
          <w:tcPr>
            <w:tcW w:w="454" w:type="dxa"/>
            <w:vAlign w:val="center"/>
          </w:tcPr>
          <w:p>
            <w:pPr>
              <w:pStyle w:val="0"/>
              <w:jc w:val="center"/>
            </w:pPr>
            <w:r>
              <w:rPr>
                <w:sz w:val="20"/>
              </w:rPr>
              <w:t xml:space="preserve">36</w:t>
            </w:r>
          </w:p>
        </w:tc>
        <w:tc>
          <w:tcPr>
            <w:tcW w:w="7427" w:type="dxa"/>
            <w:vAlign w:val="center"/>
          </w:tcPr>
          <w:p>
            <w:pPr>
              <w:pStyle w:val="0"/>
            </w:pPr>
            <w:r>
              <w:rPr>
                <w:sz w:val="20"/>
              </w:rPr>
              <w:t xml:space="preserve">Чернушинский городской округ Пермского края</w:t>
            </w:r>
          </w:p>
        </w:tc>
        <w:tc>
          <w:tcPr>
            <w:tcW w:w="1156" w:type="dxa"/>
            <w:vAlign w:val="center"/>
          </w:tcPr>
          <w:p>
            <w:pPr>
              <w:pStyle w:val="0"/>
              <w:jc w:val="center"/>
            </w:pPr>
            <w:r>
              <w:rPr>
                <w:sz w:val="20"/>
              </w:rPr>
              <w:t xml:space="preserve">2,43</w:t>
            </w:r>
          </w:p>
        </w:tc>
      </w:tr>
      <w:tr>
        <w:tc>
          <w:tcPr>
            <w:tcW w:w="454" w:type="dxa"/>
            <w:vAlign w:val="center"/>
          </w:tcPr>
          <w:p>
            <w:pPr>
              <w:pStyle w:val="0"/>
              <w:jc w:val="center"/>
            </w:pPr>
            <w:r>
              <w:rPr>
                <w:sz w:val="20"/>
              </w:rPr>
              <w:t xml:space="preserve">37</w:t>
            </w:r>
          </w:p>
        </w:tc>
        <w:tc>
          <w:tcPr>
            <w:tcW w:w="7427" w:type="dxa"/>
            <w:vAlign w:val="center"/>
          </w:tcPr>
          <w:p>
            <w:pPr>
              <w:pStyle w:val="0"/>
            </w:pPr>
            <w:r>
              <w:rPr>
                <w:sz w:val="20"/>
              </w:rPr>
              <w:t xml:space="preserve">Городской округ закрытое административно-территориальное образование Звездный Пермского края</w:t>
            </w:r>
          </w:p>
        </w:tc>
        <w:tc>
          <w:tcPr>
            <w:tcW w:w="1156" w:type="dxa"/>
            <w:vAlign w:val="center"/>
          </w:tcPr>
          <w:p>
            <w:pPr>
              <w:pStyle w:val="0"/>
              <w:jc w:val="center"/>
            </w:pPr>
            <w:r>
              <w:rPr>
                <w:sz w:val="20"/>
              </w:rPr>
              <w:t xml:space="preserve">3,26</w:t>
            </w:r>
          </w:p>
        </w:tc>
      </w:tr>
      <w:tr>
        <w:tc>
          <w:tcPr>
            <w:tcW w:w="454" w:type="dxa"/>
            <w:vAlign w:val="center"/>
          </w:tcPr>
          <w:p>
            <w:pPr>
              <w:pStyle w:val="0"/>
              <w:jc w:val="center"/>
            </w:pPr>
            <w:r>
              <w:rPr>
                <w:sz w:val="20"/>
              </w:rPr>
              <w:t xml:space="preserve">38</w:t>
            </w:r>
          </w:p>
        </w:tc>
        <w:tc>
          <w:tcPr>
            <w:tcW w:w="7427" w:type="dxa"/>
            <w:vAlign w:val="center"/>
          </w:tcPr>
          <w:p>
            <w:pPr>
              <w:pStyle w:val="0"/>
            </w:pPr>
            <w:r>
              <w:rPr>
                <w:sz w:val="20"/>
              </w:rPr>
              <w:t xml:space="preserve">Кудымкарский муниципальный округ Пермского края</w:t>
            </w:r>
          </w:p>
        </w:tc>
        <w:tc>
          <w:tcPr>
            <w:tcW w:w="1156" w:type="dxa"/>
            <w:vAlign w:val="center"/>
          </w:tcPr>
          <w:p>
            <w:pPr>
              <w:pStyle w:val="0"/>
              <w:jc w:val="center"/>
            </w:pPr>
            <w:r>
              <w:rPr>
                <w:sz w:val="20"/>
              </w:rPr>
              <w:t xml:space="preserve">2,24</w:t>
            </w:r>
          </w:p>
        </w:tc>
      </w:tr>
      <w:tr>
        <w:tc>
          <w:tcPr>
            <w:tcW w:w="454" w:type="dxa"/>
            <w:vAlign w:val="center"/>
          </w:tcPr>
          <w:p>
            <w:pPr>
              <w:pStyle w:val="0"/>
              <w:jc w:val="center"/>
            </w:pPr>
            <w:r>
              <w:rPr>
                <w:sz w:val="20"/>
              </w:rPr>
              <w:t xml:space="preserve">39</w:t>
            </w:r>
          </w:p>
        </w:tc>
        <w:tc>
          <w:tcPr>
            <w:tcW w:w="7427" w:type="dxa"/>
            <w:vAlign w:val="center"/>
          </w:tcPr>
          <w:p>
            <w:pPr>
              <w:pStyle w:val="0"/>
            </w:pPr>
            <w:r>
              <w:rPr>
                <w:sz w:val="20"/>
              </w:rPr>
              <w:t xml:space="preserve">Гайнский муниципальный округ Пермского края</w:t>
            </w:r>
          </w:p>
        </w:tc>
        <w:tc>
          <w:tcPr>
            <w:tcW w:w="1156" w:type="dxa"/>
            <w:vAlign w:val="center"/>
          </w:tcPr>
          <w:p>
            <w:pPr>
              <w:pStyle w:val="0"/>
              <w:jc w:val="center"/>
            </w:pPr>
            <w:r>
              <w:rPr>
                <w:sz w:val="20"/>
              </w:rPr>
              <w:t xml:space="preserve">2,51</w:t>
            </w:r>
          </w:p>
        </w:tc>
      </w:tr>
      <w:tr>
        <w:tc>
          <w:tcPr>
            <w:tcW w:w="454" w:type="dxa"/>
            <w:vAlign w:val="center"/>
          </w:tcPr>
          <w:p>
            <w:pPr>
              <w:pStyle w:val="0"/>
              <w:jc w:val="center"/>
            </w:pPr>
            <w:r>
              <w:rPr>
                <w:sz w:val="20"/>
              </w:rPr>
              <w:t xml:space="preserve">40</w:t>
            </w:r>
          </w:p>
        </w:tc>
        <w:tc>
          <w:tcPr>
            <w:tcW w:w="7427" w:type="dxa"/>
            <w:vAlign w:val="center"/>
          </w:tcPr>
          <w:p>
            <w:pPr>
              <w:pStyle w:val="0"/>
            </w:pPr>
            <w:r>
              <w:rPr>
                <w:sz w:val="20"/>
              </w:rPr>
              <w:t xml:space="preserve">Косинский муниципальный округ Пермского края</w:t>
            </w:r>
          </w:p>
        </w:tc>
        <w:tc>
          <w:tcPr>
            <w:tcW w:w="1156" w:type="dxa"/>
            <w:vAlign w:val="center"/>
          </w:tcPr>
          <w:p>
            <w:pPr>
              <w:pStyle w:val="0"/>
              <w:jc w:val="center"/>
            </w:pPr>
            <w:r>
              <w:rPr>
                <w:sz w:val="20"/>
              </w:rPr>
              <w:t xml:space="preserve">2,0</w:t>
            </w:r>
          </w:p>
        </w:tc>
      </w:tr>
      <w:tr>
        <w:tc>
          <w:tcPr>
            <w:tcW w:w="454" w:type="dxa"/>
            <w:vAlign w:val="center"/>
          </w:tcPr>
          <w:p>
            <w:pPr>
              <w:pStyle w:val="0"/>
              <w:jc w:val="center"/>
            </w:pPr>
            <w:r>
              <w:rPr>
                <w:sz w:val="20"/>
              </w:rPr>
              <w:t xml:space="preserve">41</w:t>
            </w:r>
          </w:p>
        </w:tc>
        <w:tc>
          <w:tcPr>
            <w:tcW w:w="7427" w:type="dxa"/>
            <w:vAlign w:val="center"/>
          </w:tcPr>
          <w:p>
            <w:pPr>
              <w:pStyle w:val="0"/>
            </w:pPr>
            <w:r>
              <w:rPr>
                <w:sz w:val="20"/>
              </w:rPr>
              <w:t xml:space="preserve">Кочевский муниципальный округ Пермского края</w:t>
            </w:r>
          </w:p>
        </w:tc>
        <w:tc>
          <w:tcPr>
            <w:tcW w:w="1156" w:type="dxa"/>
            <w:vAlign w:val="center"/>
          </w:tcPr>
          <w:p>
            <w:pPr>
              <w:pStyle w:val="0"/>
              <w:jc w:val="center"/>
            </w:pPr>
            <w:r>
              <w:rPr>
                <w:sz w:val="20"/>
              </w:rPr>
              <w:t xml:space="preserve">2,15</w:t>
            </w:r>
          </w:p>
        </w:tc>
      </w:tr>
      <w:tr>
        <w:tc>
          <w:tcPr>
            <w:tcW w:w="454" w:type="dxa"/>
            <w:vAlign w:val="center"/>
          </w:tcPr>
          <w:p>
            <w:pPr>
              <w:pStyle w:val="0"/>
              <w:jc w:val="center"/>
            </w:pPr>
            <w:r>
              <w:rPr>
                <w:sz w:val="20"/>
              </w:rPr>
              <w:t xml:space="preserve">42</w:t>
            </w:r>
          </w:p>
        </w:tc>
        <w:tc>
          <w:tcPr>
            <w:tcW w:w="7427" w:type="dxa"/>
            <w:vAlign w:val="center"/>
          </w:tcPr>
          <w:p>
            <w:pPr>
              <w:pStyle w:val="0"/>
            </w:pPr>
            <w:r>
              <w:rPr>
                <w:sz w:val="20"/>
              </w:rPr>
              <w:t xml:space="preserve">Юрлинский муниципальный округ Пермского края</w:t>
            </w:r>
          </w:p>
        </w:tc>
        <w:tc>
          <w:tcPr>
            <w:tcW w:w="1156" w:type="dxa"/>
            <w:vAlign w:val="center"/>
          </w:tcPr>
          <w:p>
            <w:pPr>
              <w:pStyle w:val="0"/>
              <w:jc w:val="center"/>
            </w:pPr>
            <w:r>
              <w:rPr>
                <w:sz w:val="20"/>
              </w:rPr>
              <w:t xml:space="preserve">2,55</w:t>
            </w:r>
          </w:p>
        </w:tc>
      </w:tr>
      <w:tr>
        <w:tc>
          <w:tcPr>
            <w:tcW w:w="454" w:type="dxa"/>
            <w:vAlign w:val="center"/>
          </w:tcPr>
          <w:p>
            <w:pPr>
              <w:pStyle w:val="0"/>
              <w:jc w:val="center"/>
            </w:pPr>
            <w:r>
              <w:rPr>
                <w:sz w:val="20"/>
              </w:rPr>
              <w:t xml:space="preserve">43</w:t>
            </w:r>
          </w:p>
        </w:tc>
        <w:tc>
          <w:tcPr>
            <w:tcW w:w="7427" w:type="dxa"/>
            <w:vAlign w:val="center"/>
          </w:tcPr>
          <w:p>
            <w:pPr>
              <w:pStyle w:val="0"/>
            </w:pPr>
            <w:r>
              <w:rPr>
                <w:sz w:val="20"/>
              </w:rPr>
              <w:t xml:space="preserve">Юсьвинский муниципальный округ Пермского края</w:t>
            </w:r>
          </w:p>
        </w:tc>
        <w:tc>
          <w:tcPr>
            <w:tcW w:w="1156" w:type="dxa"/>
            <w:vAlign w:val="center"/>
          </w:tcPr>
          <w:p>
            <w:pPr>
              <w:pStyle w:val="0"/>
              <w:jc w:val="center"/>
            </w:pPr>
            <w:r>
              <w:rPr>
                <w:sz w:val="20"/>
              </w:rPr>
              <w:t xml:space="preserve">2,2</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30.05.2018 N 294-п</w:t>
            <w:br/>
            <w:t>(ред. от 10.05.2023)</w:t>
            <w:br/>
            <w:t>"Об утверждении Порядка предоставл...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30.05.2018 N 294-п</w:t>
            <w:br/>
            <w:t>(ред. от 10.05.2023)</w:t>
            <w:br/>
            <w:t>"Об утверждении Порядка предоставл...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931AC3680243092D91434DEFA75720BE86910B3416FF1FF0EA7A8CC8FA50E1FB00D5911D39B1D6A4B57F6AC01C167FEC4960E5E1C2A954152329B16q1I0F" TargetMode = "External"/>
	<Relationship Id="rId8" Type="http://schemas.openxmlformats.org/officeDocument/2006/relationships/hyperlink" Target="consultantplus://offline/ref=9DA21847E7A3A61E9CEB3C122883B58954905345D51C34DD1C0A524C92CC1C12C6F3028119FFAEECB4E133B707E75AC7BA5A7538D484ADA473505990rBI1F" TargetMode = "External"/>
	<Relationship Id="rId9" Type="http://schemas.openxmlformats.org/officeDocument/2006/relationships/hyperlink" Target="consultantplus://offline/ref=9DA21847E7A3A61E9CEB3C122883B58954905345D51E34DD1E02524C92CC1C12C6F3028119FFAEECB4E133B70AE75AC7BA5A7538D484ADA473505990rBI1F" TargetMode = "External"/>
	<Relationship Id="rId10" Type="http://schemas.openxmlformats.org/officeDocument/2006/relationships/hyperlink" Target="consultantplus://offline/ref=9DA21847E7A3A61E9CEB3C122883B58954905345D5183ADF1A06524C92CC1C12C6F3028119FFAEECB4E133B407E75AC7BA5A7538D484ADA473505990rBI1F" TargetMode = "External"/>
	<Relationship Id="rId11" Type="http://schemas.openxmlformats.org/officeDocument/2006/relationships/hyperlink" Target="consultantplus://offline/ref=9DA21847E7A3A61E9CEB3C122883B58954905345D51D35DE110A524C92CC1C12C6F3028119FFAEECB4E133B707E75AC7BA5A7538D484ADA473505990rBI1F" TargetMode = "External"/>
	<Relationship Id="rId12" Type="http://schemas.openxmlformats.org/officeDocument/2006/relationships/hyperlink" Target="consultantplus://offline/ref=9DA21847E7A3A61E9CEB3C122883B58954905345D51C39DD1F0B524C92CC1C12C6F3028119FFAEECB4E133B10BE75AC7BA5A7538D484ADA473505990rBI1F" TargetMode = "External"/>
	<Relationship Id="rId13" Type="http://schemas.openxmlformats.org/officeDocument/2006/relationships/hyperlink" Target="consultantplus://offline/ref=9DA21847E7A3A61E9CEB3C122883B58954905345D51C3EDE100A524C92CC1C12C6F3028119FFAEECB4E133B40EE75AC7BA5A7538D484ADA473505990rBI1F" TargetMode = "External"/>
	<Relationship Id="rId14" Type="http://schemas.openxmlformats.org/officeDocument/2006/relationships/hyperlink" Target="consultantplus://offline/ref=9DA21847E7A3A61E9CEB3C122883B58954905345D51C35D81805524C92CC1C12C6F3028119FFAEECB4E133B60FE75AC7BA5A7538D484ADA473505990rBI1F" TargetMode = "External"/>
	<Relationship Id="rId15" Type="http://schemas.openxmlformats.org/officeDocument/2006/relationships/hyperlink" Target="consultantplus://offline/ref=9DA21847E7A3A61E9CEB3C122883B58954905345D51B3DDB190B524C92CC1C12C6F3028119FFAEECB4E133B707E75AC7BA5A7538D484ADA473505990rBI1F" TargetMode = "External"/>
	<Relationship Id="rId16" Type="http://schemas.openxmlformats.org/officeDocument/2006/relationships/hyperlink" Target="consultantplus://offline/ref=9DA21847E7A3A61E9CEB3C122883B58954905345D51B3FDD1102524C92CC1C12C6F3028119FFAEECB4E133B70AE75AC7BA5A7538D484ADA473505990rBI1F" TargetMode = "External"/>
	<Relationship Id="rId17" Type="http://schemas.openxmlformats.org/officeDocument/2006/relationships/hyperlink" Target="consultantplus://offline/ref=9DA21847E7A3A61E9CEB3C122883B58954905345D51B39DA1E02524C92CC1C12C6F3028119FFAEECB4E133B60FE75AC7BA5A7538D484ADA473505990rBI1F" TargetMode = "External"/>
	<Relationship Id="rId18" Type="http://schemas.openxmlformats.org/officeDocument/2006/relationships/hyperlink" Target="consultantplus://offline/ref=9DA21847E7A3A61E9CEB3C122883B58954905345D51B3ADD1F0A524C92CC1C12C6F3028119FFAEECB4E133B707E75AC7BA5A7538D484ADA473505990rBI1F" TargetMode = "External"/>
	<Relationship Id="rId19" Type="http://schemas.openxmlformats.org/officeDocument/2006/relationships/hyperlink" Target="consultantplus://offline/ref=9DA21847E7A3A61E9CEB3C122883B58954905345D51A3DDF1A07524C92CC1C12C6F3028119FFAEECB4E133B609E75AC7BA5A7538D484ADA473505990rBI1F" TargetMode = "External"/>
	<Relationship Id="rId20" Type="http://schemas.openxmlformats.org/officeDocument/2006/relationships/hyperlink" Target="consultantplus://offline/ref=9DA21847E7A3A61E9CEB3C122883B58954905345D51A3FDE1904524C92CC1C12C6F3028119FFAEECB4E133B70AE75AC7BA5A7538D484ADA473505990rBI1F" TargetMode = "External"/>
	<Relationship Id="rId21" Type="http://schemas.openxmlformats.org/officeDocument/2006/relationships/hyperlink" Target="consultantplus://offline/ref=9DA21847E7A3A61E9CEB3C122883B58954905345D51A34D91005524C92CC1C12C6F3028119FFAEECB4E133B707E75AC7BA5A7538D484ADA473505990rBI1F" TargetMode = "External"/>
	<Relationship Id="rId22" Type="http://schemas.openxmlformats.org/officeDocument/2006/relationships/hyperlink" Target="consultantplus://offline/ref=9DA21847E7A3A61E9CEB3C122883B58954905345D51838DD1101524C92CC1C12C6F3028119FFAEECB4E132B10BE75AC7BA5A7538D484ADA473505990rBI1F" TargetMode = "External"/>
	<Relationship Id="rId23" Type="http://schemas.openxmlformats.org/officeDocument/2006/relationships/hyperlink" Target="consultantplus://offline/ref=9DA21847E7A3A61E9CEB3C122883B58954905345D51838DA1F05524C92CC1C12C6F3028119FFAEECB4E133B00BE75AC7BA5A7538D484ADA473505990rBI1F" TargetMode = "External"/>
	<Relationship Id="rId24" Type="http://schemas.openxmlformats.org/officeDocument/2006/relationships/hyperlink" Target="consultantplus://offline/ref=9DA21847E7A3A61E9CEB3C122883B58954905345D5173DDE1F05524C92CC1C12C6F3028119FFAEECB4E133B307E75AC7BA5A7538D484ADA473505990rBI1F" TargetMode = "External"/>
	<Relationship Id="rId25" Type="http://schemas.openxmlformats.org/officeDocument/2006/relationships/hyperlink" Target="consultantplus://offline/ref=9DA21847E7A3A61E9CEB3C042BEFE882589F0B48D21736894557541BCD9C1A4786B304D45CBCA8B9E5A566BA0FEE1097FE117A38D4r9I9F" TargetMode = "External"/>
	<Relationship Id="rId26" Type="http://schemas.openxmlformats.org/officeDocument/2006/relationships/hyperlink" Target="consultantplus://offline/ref=9DA21847E7A3A61E9CEB3C042BEFE88258980A4CD41636894557541BCD9C1A4786B304D45ABBA2E9BDEA67E64BB90396FC117938C898ACA6r6IEF" TargetMode = "External"/>
	<Relationship Id="rId27" Type="http://schemas.openxmlformats.org/officeDocument/2006/relationships/hyperlink" Target="consultantplus://offline/ref=9DA21847E7A3A61E9CEB3C042BEFE88258980A4CD41636894557541BCD9C1A4786B304D45ABAA3EEB3EA67E64BB90396FC117938C898ACA6r6IEF" TargetMode = "External"/>
	<Relationship Id="rId28" Type="http://schemas.openxmlformats.org/officeDocument/2006/relationships/hyperlink" Target="consultantplus://offline/ref=9DA21847E7A3A61E9CEB3C122883B58954905345D51834D81100524C92CC1C12C6F3028119FFAEECB4E730B209E75AC7BA5A7538D484ADA473505990rBI1F" TargetMode = "External"/>
	<Relationship Id="rId29" Type="http://schemas.openxmlformats.org/officeDocument/2006/relationships/hyperlink" Target="consultantplus://offline/ref=9DA21847E7A3A61E9CEB3C122883B58954905345D51739D71002524C92CC1C12C6F3028119FFAEECB4E133B509E75AC7BA5A7538D484ADA473505990rBI1F" TargetMode = "External"/>
	<Relationship Id="rId30" Type="http://schemas.openxmlformats.org/officeDocument/2006/relationships/hyperlink" Target="consultantplus://offline/ref=9DA21847E7A3A61E9CEB3C122883B58954905345D51739D71002524C92CC1C12C6F3028119FFAEECB4E131B509E75AC7BA5A7538D484ADA473505990rBI1F" TargetMode = "External"/>
	<Relationship Id="rId31" Type="http://schemas.openxmlformats.org/officeDocument/2006/relationships/hyperlink" Target="consultantplus://offline/ref=9DA21847E7A3A61E9CEB3C122883B58954905345D51E34DD1E02524C92CC1C12C6F3028119FFAEECB4E133B609E75AC7BA5A7538D484ADA473505990rBI1F" TargetMode = "External"/>
	<Relationship Id="rId32" Type="http://schemas.openxmlformats.org/officeDocument/2006/relationships/hyperlink" Target="consultantplus://offline/ref=9DA21847E7A3A61E9CEB3C122883B58954905345D51838DA1F05524C92CC1C12C6F3028119FFAEECB4E133B009E75AC7BA5A7538D484ADA473505990rBI1F" TargetMode = "External"/>
	<Relationship Id="rId33" Type="http://schemas.openxmlformats.org/officeDocument/2006/relationships/hyperlink" Target="consultantplus://offline/ref=9DA21847E7A3A61E9CEB3C122883B58954905345D51C39DD1F0B524C92CC1C12C6F3028119FFAEECB4E133B109E75AC7BA5A7538D484ADA473505990rBI1F" TargetMode = "External"/>
	<Relationship Id="rId34" Type="http://schemas.openxmlformats.org/officeDocument/2006/relationships/hyperlink" Target="consultantplus://offline/ref=9DA21847E7A3A61E9CEB3C122883B58954905345D51838DA1F05524C92CC1C12C6F3028119FFAEECB4E133B008E75AC7BA5A7538D484ADA473505990rBI1F" TargetMode = "External"/>
	<Relationship Id="rId35" Type="http://schemas.openxmlformats.org/officeDocument/2006/relationships/hyperlink" Target="consultantplus://offline/ref=9DA21847E7A3A61E9CEB3C122883B58954905345D51F3EDF1105524C92CC1C12C6F302810BFFF6E0B4E32DB60FF20C96FCr0ICF" TargetMode = "External"/>
	<Relationship Id="rId36" Type="http://schemas.openxmlformats.org/officeDocument/2006/relationships/hyperlink" Target="consultantplus://offline/ref=9DA21847E7A3A61E9CEB3C122883B58954905345DC1C34D719080F469A951010C1FC5D841EEEAEEDB6FF32B711EE0E94rFIDF" TargetMode = "External"/>
	<Relationship Id="rId37" Type="http://schemas.openxmlformats.org/officeDocument/2006/relationships/hyperlink" Target="consultantplus://offline/ref=9DA21847E7A3A61E9CEB3C122883B58954905345DD1D38DA1F080F469A951010C1FC5D841EEEAEEDB6FF32B711EE0E94rFIDF" TargetMode = "External"/>
	<Relationship Id="rId38" Type="http://schemas.openxmlformats.org/officeDocument/2006/relationships/hyperlink" Target="consultantplus://offline/ref=9DA21847E7A3A61E9CEB3C122883B58954905345DD173CD91C080F469A951010C1FC5D841EEEAEEDB6FF32B711EE0E94rFIDF" TargetMode = "External"/>
	<Relationship Id="rId39" Type="http://schemas.openxmlformats.org/officeDocument/2006/relationships/hyperlink" Target="consultantplus://offline/ref=9DA21847E7A3A61E9CEB3C122883B58954905345D51F3FDE1D04524C92CC1C12C6F302810BFFF6E0B4E32DB60FF20C96FCr0ICF" TargetMode = "External"/>
	<Relationship Id="rId40" Type="http://schemas.openxmlformats.org/officeDocument/2006/relationships/hyperlink" Target="consultantplus://offline/ref=9DA21847E7A3A61E9CEB3C122883B58954905345D51E34DD1E02524C92CC1C12C6F3028119FFAEECB4E133B607E75AC7BA5A7538D484ADA473505990rBI1F" TargetMode = "External"/>
	<Relationship Id="rId41" Type="http://schemas.openxmlformats.org/officeDocument/2006/relationships/hyperlink" Target="consultantplus://offline/ref=9DA21847E7A3A61E9CEB3C122883B58954905345D51D35DE110A524C92CC1C12C6F3028119FFAEECB4E133B706E75AC7BA5A7538D484ADA473505990rBI1F" TargetMode = "External"/>
	<Relationship Id="rId42" Type="http://schemas.openxmlformats.org/officeDocument/2006/relationships/hyperlink" Target="consultantplus://offline/ref=9DA21847E7A3A61E9CEB3C122883B58954905345D51B3ADD1F0A524C92CC1C12C6F3028119FFAEECB4E133B706E75AC7BA5A7538D484ADA473505990rBI1F" TargetMode = "External"/>
	<Relationship Id="rId43" Type="http://schemas.openxmlformats.org/officeDocument/2006/relationships/hyperlink" Target="consultantplus://offline/ref=9DA21847E7A3A61E9CEB3C122883B58954905345D51E35D91A03524C92CC1C12C6F3028119FFAEECB4E133B70AE75AC7BA5A7538D484ADA473505990rBI1F" TargetMode = "External"/>
	<Relationship Id="rId44" Type="http://schemas.openxmlformats.org/officeDocument/2006/relationships/hyperlink" Target="consultantplus://offline/ref=9DA21847E7A3A61E9CEB3C122883B58954905345D51C34DD1C0A524C92CC1C12C6F3028119FFAEECB4E133B707E75AC7BA5A7538D484ADA473505990rBI1F" TargetMode = "External"/>
	<Relationship Id="rId45" Type="http://schemas.openxmlformats.org/officeDocument/2006/relationships/hyperlink" Target="consultantplus://offline/ref=9DA21847E7A3A61E9CEB3C122883B58954905345D51E34DD1E02524C92CC1C12C6F3028119FFAEECB4E133B606E75AC7BA5A7538D484ADA473505990rBI1F" TargetMode = "External"/>
	<Relationship Id="rId46" Type="http://schemas.openxmlformats.org/officeDocument/2006/relationships/hyperlink" Target="consultantplus://offline/ref=9DA21847E7A3A61E9CEB3C122883B58954905345D5183ADF1A06524C92CC1C12C6F3028119FFAEECB4E133B407E75AC7BA5A7538D484ADA473505990rBI1F" TargetMode = "External"/>
	<Relationship Id="rId47" Type="http://schemas.openxmlformats.org/officeDocument/2006/relationships/hyperlink" Target="consultantplus://offline/ref=9DA21847E7A3A61E9CEB3C122883B58954905345D51D35DE110A524C92CC1C12C6F3028119FFAEECB4E133B60FE75AC7BA5A7538D484ADA473505990rBI1F" TargetMode = "External"/>
	<Relationship Id="rId48" Type="http://schemas.openxmlformats.org/officeDocument/2006/relationships/hyperlink" Target="consultantplus://offline/ref=9DA21847E7A3A61E9CEB3C122883B58954905345D51C39DD1F0B524C92CC1C12C6F3028119FFAEECB4E133B108E75AC7BA5A7538D484ADA473505990rBI1F" TargetMode = "External"/>
	<Relationship Id="rId49" Type="http://schemas.openxmlformats.org/officeDocument/2006/relationships/hyperlink" Target="consultantplus://offline/ref=9DA21847E7A3A61E9CEB3C122883B58954905345D51C3EDE100A524C92CC1C12C6F3028119FFAEECB4E133B40EE75AC7BA5A7538D484ADA473505990rBI1F" TargetMode = "External"/>
	<Relationship Id="rId50" Type="http://schemas.openxmlformats.org/officeDocument/2006/relationships/hyperlink" Target="consultantplus://offline/ref=9DA21847E7A3A61E9CEB3C122883B58954905345D51C35D81805524C92CC1C12C6F3028119FFAEECB4E133B60FE75AC7BA5A7538D484ADA473505990rBI1F" TargetMode = "External"/>
	<Relationship Id="rId51" Type="http://schemas.openxmlformats.org/officeDocument/2006/relationships/hyperlink" Target="consultantplus://offline/ref=9DA21847E7A3A61E9CEB3C122883B58954905345D51B3DDB190B524C92CC1C12C6F3028119FFAEECB4E133B707E75AC7BA5A7538D484ADA473505990rBI1F" TargetMode = "External"/>
	<Relationship Id="rId52" Type="http://schemas.openxmlformats.org/officeDocument/2006/relationships/hyperlink" Target="consultantplus://offline/ref=9DA21847E7A3A61E9CEB3C122883B58954905345D51B3FDD1102524C92CC1C12C6F3028119FFAEECB4E133B70AE75AC7BA5A7538D484ADA473505990rBI1F" TargetMode = "External"/>
	<Relationship Id="rId53" Type="http://schemas.openxmlformats.org/officeDocument/2006/relationships/hyperlink" Target="consultantplus://offline/ref=9DA21847E7A3A61E9CEB3C122883B58954905345D51B39DA1E02524C92CC1C12C6F3028119FFAEECB4E133B60FE75AC7BA5A7538D484ADA473505990rBI1F" TargetMode = "External"/>
	<Relationship Id="rId54" Type="http://schemas.openxmlformats.org/officeDocument/2006/relationships/hyperlink" Target="consultantplus://offline/ref=9DA21847E7A3A61E9CEB3C122883B58954905345D51B3ADD1F0A524C92CC1C12C6F3028119FFAEECB4E133B60FE75AC7BA5A7538D484ADA473505990rBI1F" TargetMode = "External"/>
	<Relationship Id="rId55" Type="http://schemas.openxmlformats.org/officeDocument/2006/relationships/hyperlink" Target="consultantplus://offline/ref=9DA21847E7A3A61E9CEB3C122883B58954905345D51A3DDF1A07524C92CC1C12C6F3028119FFAEECB4E133B609E75AC7BA5A7538D484ADA473505990rBI1F" TargetMode = "External"/>
	<Relationship Id="rId56" Type="http://schemas.openxmlformats.org/officeDocument/2006/relationships/hyperlink" Target="consultantplus://offline/ref=9DA21847E7A3A61E9CEB3C122883B58954905345D51A3FDE1904524C92CC1C12C6F3028119FFAEECB4E133B70AE75AC7BA5A7538D484ADA473505990rBI1F" TargetMode = "External"/>
	<Relationship Id="rId57" Type="http://schemas.openxmlformats.org/officeDocument/2006/relationships/hyperlink" Target="consultantplus://offline/ref=9DA21847E7A3A61E9CEB3C122883B58954905345D51A34D91005524C92CC1C12C6F3028119FFAEECB4E133B707E75AC7BA5A7538D484ADA473505990rBI1F" TargetMode = "External"/>
	<Relationship Id="rId58" Type="http://schemas.openxmlformats.org/officeDocument/2006/relationships/hyperlink" Target="consultantplus://offline/ref=9DA21847E7A3A61E9CEB3C122883B58954905345D51838DD1101524C92CC1C12C6F3028119FFAEECB4E132B10BE75AC7BA5A7538D484ADA473505990rBI1F" TargetMode = "External"/>
	<Relationship Id="rId59" Type="http://schemas.openxmlformats.org/officeDocument/2006/relationships/hyperlink" Target="consultantplus://offline/ref=9DA21847E7A3A61E9CEB3C122883B58954905345D51838DA1F05524C92CC1C12C6F3028119FFAEECB4E133B007E75AC7BA5A7538D484ADA473505990rBI1F" TargetMode = "External"/>
	<Relationship Id="rId60" Type="http://schemas.openxmlformats.org/officeDocument/2006/relationships/hyperlink" Target="consultantplus://offline/ref=9DA21847E7A3A61E9CEB3C122883B58954905345D5173DDE1F05524C92CC1C12C6F3028119FFAEECB4E133B307E75AC7BA5A7538D484ADA473505990rBI1F" TargetMode = "External"/>
	<Relationship Id="rId61" Type="http://schemas.openxmlformats.org/officeDocument/2006/relationships/hyperlink" Target="consultantplus://offline/ref=9DA21847E7A3A61E9CEB3C122883B58954905345D51C39DD1F0B524C92CC1C12C6F3028119FFAEECB4E133B106E75AC7BA5A7538D484ADA473505990rBI1F" TargetMode = "External"/>
	<Relationship Id="rId62" Type="http://schemas.openxmlformats.org/officeDocument/2006/relationships/hyperlink" Target="consultantplus://offline/ref=9DA21847E7A3A61E9CEB3C122883B58954905345D51838DA1F05524C92CC1C12C6F3028119FFAEECB4E133BF0FE75AC7BA5A7538D484ADA473505990rBI1F" TargetMode = "External"/>
	<Relationship Id="rId63" Type="http://schemas.openxmlformats.org/officeDocument/2006/relationships/hyperlink" Target="consultantplus://offline/ref=9DA21847E7A3A61E9CEB3C122883B58954905345D5173DDE1F05524C92CC1C12C6F3028119FFAEECB4E133B306E75AC7BA5A7538D484ADA473505990rBI1F" TargetMode = "External"/>
	<Relationship Id="rId64" Type="http://schemas.openxmlformats.org/officeDocument/2006/relationships/hyperlink" Target="consultantplus://offline/ref=9DA21847E7A3A61E9CEB3C122883B58954905345D5173DDE1F05524C92CC1C12C6F3028119FFAEECB4E133B709E75AC7BA5A7538D484ADA473505990rBI1F" TargetMode = "External"/>
	<Relationship Id="rId65" Type="http://schemas.openxmlformats.org/officeDocument/2006/relationships/hyperlink" Target="consultantplus://offline/ref=9DA21847E7A3A61E9CEB3C122883B58954905345D5173DDE1F05524C92CC1C12C6F3028119FFAEECB4E133B306E75AC7BA5A7538D484ADA473505990rBI1F" TargetMode = "External"/>
	<Relationship Id="rId66" Type="http://schemas.openxmlformats.org/officeDocument/2006/relationships/hyperlink" Target="consultantplus://offline/ref=9DA21847E7A3A61E9CEB3C042BEFE8825D99044BD01B36894557541BCD9C1A4794B35CD85AB9BDECB4FF31B70DrEIFF" TargetMode = "External"/>
	<Relationship Id="rId67" Type="http://schemas.openxmlformats.org/officeDocument/2006/relationships/hyperlink" Target="consultantplus://offline/ref=9DA21847E7A3A61E9CEB3C122883B58954905345D51838D91E07524C92CC1C12C6F3028119FFAEECB4E132BF0DE75AC7BA5A7538D484ADA473505990rBI1F" TargetMode = "External"/>
	<Relationship Id="rId68" Type="http://schemas.openxmlformats.org/officeDocument/2006/relationships/image" Target="media/image2.wmf"/>
	<Relationship Id="rId69" Type="http://schemas.openxmlformats.org/officeDocument/2006/relationships/hyperlink" Target="consultantplus://offline/ref=9DA21847E7A3A61E9CEB3C122883B58954905345D51C39DD1F0B524C92CC1C12C6F3028119FFAEECB4E133BF0DE75AC7BA5A7538D484ADA473505990rBI1F" TargetMode = "External"/>
	<Relationship Id="rId70" Type="http://schemas.openxmlformats.org/officeDocument/2006/relationships/hyperlink" Target="consultantplus://offline/ref=9DA21847E7A3A61E9CEB3C122883B58954905345D51838DA1F05524C92CC1C12C6F3028119FFAEECB4E133BE09E75AC7BA5A7538D484ADA473505990rBI1F" TargetMode = "External"/>
	<Relationship Id="rId71" Type="http://schemas.openxmlformats.org/officeDocument/2006/relationships/hyperlink" Target="consultantplus://offline/ref=9DA21847E7A3A61E9CEB3C122883B58954905345D51C39DD1F0B524C92CC1C12C6F3028119FFAEECB4E133BF0CE75AC7BA5A7538D484ADA473505990rBI1F" TargetMode = "External"/>
	<Relationship Id="rId72" Type="http://schemas.openxmlformats.org/officeDocument/2006/relationships/hyperlink" Target="consultantplus://offline/ref=9DA21847E7A3A61E9CEB3C122883B58954905345D51838DA1F05524C92CC1C12C6F3028119FFAEECB4E133BE07E75AC7BA5A7538D484ADA473505990rBI1F" TargetMode = "External"/>
	<Relationship Id="rId73" Type="http://schemas.openxmlformats.org/officeDocument/2006/relationships/hyperlink" Target="consultantplus://offline/ref=9DA21847E7A3A61E9CEB3C122883B58954905345D51838DA1F05524C92CC1C12C6F3028119FFAEECB4E133BE06E75AC7BA5A7538D484ADA473505990rBI1F" TargetMode = "External"/>
	<Relationship Id="rId74" Type="http://schemas.openxmlformats.org/officeDocument/2006/relationships/hyperlink" Target="consultantplus://offline/ref=9DA21847E7A3A61E9CEB3C122883B58954905345D51C35D81805524C92CC1C12C6F3028119FFAEECB4E133B60EE75AC7BA5A7538D484ADA473505990rBI1F" TargetMode = "External"/>
	<Relationship Id="rId75" Type="http://schemas.openxmlformats.org/officeDocument/2006/relationships/hyperlink" Target="consultantplus://offline/ref=9DA21847E7A3A61E9CEB3C122883B58954905345D5183ADF1A06524C92CC1C12C6F3028119FFAEECB4E133B406E75AC7BA5A7538D484ADA473505990rBI1F" TargetMode = "External"/>
	<Relationship Id="rId76" Type="http://schemas.openxmlformats.org/officeDocument/2006/relationships/hyperlink" Target="consultantplus://offline/ref=9DA21847E7A3A61E9CEB3C122883B58954905345D51838DA1F05524C92CC1C12C6F3028119FFAEECB4E132B70EE75AC7BA5A7538D484ADA473505990rBI1F" TargetMode = "External"/>
	<Relationship Id="rId77" Type="http://schemas.openxmlformats.org/officeDocument/2006/relationships/hyperlink" Target="consultantplus://offline/ref=9DA21847E7A3A61E9CEB3C122883B58954905345D51C39DD1F0B524C92CC1C12C6F3028119FFAEECB4E133BF0BE75AC7BA5A7538D484ADA473505990rBI1F" TargetMode = "External"/>
	<Relationship Id="rId78" Type="http://schemas.openxmlformats.org/officeDocument/2006/relationships/hyperlink" Target="consultantplus://offline/ref=9DA21847E7A3A61E9CEB3C122883B58954905345D51A34D91005524C92CC1C12C6F3028119FFAEECB4E133B706E75AC7BA5A7538D484ADA473505990rBI1F" TargetMode = "External"/>
	<Relationship Id="rId79" Type="http://schemas.openxmlformats.org/officeDocument/2006/relationships/hyperlink" Target="consultantplus://offline/ref=9DA21847E7A3A61E9CEB3C122883B58954905345D51838DA1F05524C92CC1C12C6F3028119FFAEECB4E132B70DE75AC7BA5A7538D484ADA473505990rBI1F" TargetMode = "External"/>
	<Relationship Id="rId80" Type="http://schemas.openxmlformats.org/officeDocument/2006/relationships/hyperlink" Target="consultantplus://offline/ref=9DA21847E7A3A61E9CEB3C122883B58954905345D51C35D81805524C92CC1C12C6F3028119FFAEECB4E133B60BE75AC7BA5A7538D484ADA473505990rBI1F" TargetMode = "External"/>
	<Relationship Id="rId81" Type="http://schemas.openxmlformats.org/officeDocument/2006/relationships/hyperlink" Target="consultantplus://offline/ref=9DA21847E7A3A61E9CEB3C122883B58954905345D51A34D91005524C92CC1C12C6F3028119FFAEECB4E133B60DE75AC7BA5A7538D484ADA473505990rBI1F" TargetMode = "External"/>
	<Relationship Id="rId82" Type="http://schemas.openxmlformats.org/officeDocument/2006/relationships/hyperlink" Target="consultantplus://offline/ref=9DA21847E7A3A61E9CEB3C122883B58954905345D51A34D91005524C92CC1C12C6F3028119FFAEECB4E133B60CE75AC7BA5A7538D484ADA473505990rBI1F" TargetMode = "External"/>
	<Relationship Id="rId83" Type="http://schemas.openxmlformats.org/officeDocument/2006/relationships/hyperlink" Target="consultantplus://offline/ref=9DA21847E7A3A61E9CEB3C122883B58954905345D51A34D91005524C92CC1C12C6F3028119FFAEECB4E133B60BE75AC7BA5A7538D484ADA473505990rBI1F" TargetMode = "External"/>
	<Relationship Id="rId84" Type="http://schemas.openxmlformats.org/officeDocument/2006/relationships/hyperlink" Target="consultantplus://offline/ref=9DA21847E7A3A61E9CEB3C122883B58954905345D51C39DD1F0B524C92CC1C12C6F3028119FFAEECB4E133BF0AE75AC7BA5A7538D484ADA473505990rBI1F" TargetMode = "External"/>
	<Relationship Id="rId85" Type="http://schemas.openxmlformats.org/officeDocument/2006/relationships/hyperlink" Target="consultantplus://offline/ref=9DA21847E7A3A61E9CEB3C122883B58954905345D51838DA1F05524C92CC1C12C6F3028119FFAEECB4E132B70CE75AC7BA5A7538D484ADA473505990rBI1F" TargetMode = "External"/>
	<Relationship Id="rId86" Type="http://schemas.openxmlformats.org/officeDocument/2006/relationships/hyperlink" Target="consultantplus://offline/ref=9DA21847E7A3A61E9CEB3C122883B58954905345D51C34DD1C0A524C92CC1C12C6F3028119FFAEECB4E133B608E75AC7BA5A7538D484ADA473505990rBI1F" TargetMode = "External"/>
	<Relationship Id="rId87" Type="http://schemas.openxmlformats.org/officeDocument/2006/relationships/hyperlink" Target="consultantplus://offline/ref=9DA21847E7A3A61E9CEB3C122883B58954905345D5173DDE1F05524C92CC1C12C6F3028119FFAEECB4E133BE09E75AC7BA5A7538D484ADA473505990rBI1F" TargetMode = "External"/>
	<Relationship Id="rId88" Type="http://schemas.openxmlformats.org/officeDocument/2006/relationships/hyperlink" Target="consultantplus://offline/ref=9DA21847E7A3A61E9CEB3C122883B58954905345D51C39DD1F0B524C92CC1C12C6F3028119FFAEECB4E133BF09E75AC7BA5A7538D484ADA473505990rBI1F" TargetMode = "External"/>
	<Relationship Id="rId89" Type="http://schemas.openxmlformats.org/officeDocument/2006/relationships/hyperlink" Target="consultantplus://offline/ref=9DA21847E7A3A61E9CEB3C122883B58954905345D51838D91E07524C92CC1C12C6F3028119FFAEECB4E133B209E75AC7BA5A7538D484ADA473505990rBI1F" TargetMode = "External"/>
	<Relationship Id="rId90" Type="http://schemas.openxmlformats.org/officeDocument/2006/relationships/hyperlink" Target="consultantplus://offline/ref=9DA21847E7A3A61E9CEB3C122883B58954905345D51838DA1F05524C92CC1C12C6F3028119FFAEECB4E132B70BE75AC7BA5A7538D484ADA473505990rBI1F" TargetMode = "External"/>
	<Relationship Id="rId91" Type="http://schemas.openxmlformats.org/officeDocument/2006/relationships/hyperlink" Target="consultantplus://offline/ref=9DA21847E7A3A61E9CEB3C122883B58954905345D51C34DD1C0A524C92CC1C12C6F3028119FFAEECB4E133B50DE75AC7BA5A7538D484ADA473505990rBI1F" TargetMode = "External"/>
	<Relationship Id="rId92" Type="http://schemas.openxmlformats.org/officeDocument/2006/relationships/hyperlink" Target="consultantplus://offline/ref=9DA21847E7A3A61E9CEB3C122883B58954905345D51C39DD1F0B524C92CC1C12C6F3028119FFAEECB4E133B107E75AC7BA5A7538D484ADA473505990rBI1F" TargetMode = "External"/>
	<Relationship Id="rId93" Type="http://schemas.openxmlformats.org/officeDocument/2006/relationships/hyperlink" Target="consultantplus://offline/ref=9DA21847E7A3A61E9CEB3C122883B58954905345D51C35D81805524C92CC1C12C6F3028119FFAEECB4E133B608E75AC7BA5A7538D484ADA473505990rBI1F" TargetMode = "External"/>
	<Relationship Id="rId94" Type="http://schemas.openxmlformats.org/officeDocument/2006/relationships/hyperlink" Target="consultantplus://offline/ref=9DA21847E7A3A61E9CEB3C122883B58954905345D51B3FDD1102524C92CC1C12C6F3028119FFAEECB4E133B70AE75AC7BA5A7538D484ADA473505990rBI1F" TargetMode = "External"/>
	<Relationship Id="rId95" Type="http://schemas.openxmlformats.org/officeDocument/2006/relationships/hyperlink" Target="consultantplus://offline/ref=9DA21847E7A3A61E9CEB3C122883B58954905345D51838DA1F05524C92CC1C12C6F3028119FFAEECB4E133B006E75AC7BA5A7538D484ADA473505990rBI1F" TargetMode = "External"/>
	<Relationship Id="rId96" Type="http://schemas.openxmlformats.org/officeDocument/2006/relationships/hyperlink" Target="consultantplus://offline/ref=9DA21847E7A3A61E9CEB3C122883B58954905345D5173DDE1F05524C92CC1C12C6F3028119FFAEECB4E133BE06E75AC7BA5A7538D484ADA473505990rBI1F" TargetMode = "External"/>
	<Relationship Id="rId97" Type="http://schemas.openxmlformats.org/officeDocument/2006/relationships/hyperlink" Target="consultantplus://offline/ref=9DA21847E7A3A61E9CEB3C122883B58954905345D51C34DD1C0A524C92CC1C12C6F3028119FFAEECB4E133B50DE75AC7BA5A7538D484ADA473505990rBI1F" TargetMode = "External"/>
	<Relationship Id="rId98" Type="http://schemas.openxmlformats.org/officeDocument/2006/relationships/hyperlink" Target="consultantplus://offline/ref=9DA21847E7A3A61E9CEB3C122883B58954905345D51C35D81805524C92CC1C12C6F3028119FFAEECB4E133B607E75AC7BA5A7538D484ADA473505990rBI1F" TargetMode = "External"/>
	<Relationship Id="rId99" Type="http://schemas.openxmlformats.org/officeDocument/2006/relationships/hyperlink" Target="consultantplus://offline/ref=9DA21847E7A3A61E9CEB3C122883B58954905345D51C35D81805524C92CC1C12C6F3028119FFAEECB4E133B606E75AC7BA5A7538D484ADA473505990rBI1F" TargetMode = "External"/>
	<Relationship Id="rId100" Type="http://schemas.openxmlformats.org/officeDocument/2006/relationships/hyperlink" Target="consultantplus://offline/ref=9DA21847E7A3A61E9CEB3C122883B58954905345D5173DDE1F05524C92CC1C12C6F3028119FFAEECB4E133BE06E75AC7BA5A7538D484ADA473505990rBI1F" TargetMode = "External"/>
	<Relationship Id="rId101" Type="http://schemas.openxmlformats.org/officeDocument/2006/relationships/hyperlink" Target="consultantplus://offline/ref=9DA21847E7A3A61E9CEB3C122883B58954905345D5173DDE1F05524C92CC1C12C6F3028119FFAEECB4E132B70EE75AC7BA5A7538D484ADA473505990rBI1F" TargetMode = "External"/>
	<Relationship Id="rId102" Type="http://schemas.openxmlformats.org/officeDocument/2006/relationships/hyperlink" Target="consultantplus://offline/ref=9DA21847E7A3A61E9CEB3C122883B58954905345D51C39DD1F0B524C92CC1C12C6F3028119FFAEECB4E133BF06E75AC7BA5A7538D484ADA473505990rBI1F" TargetMode = "External"/>
	<Relationship Id="rId103" Type="http://schemas.openxmlformats.org/officeDocument/2006/relationships/hyperlink" Target="consultantplus://offline/ref=9DA21847E7A3A61E9CEB3C122883B58954905345D51C39DD1F0B524C92CC1C12C6F3028119FFAEECB4E133BE0FE75AC7BA5A7538D484ADA473505990rBI1F" TargetMode = "External"/>
	<Relationship Id="rId104" Type="http://schemas.openxmlformats.org/officeDocument/2006/relationships/hyperlink" Target="consultantplus://offline/ref=9DA21847E7A3A61E9CEB3C122883B58954905345D51838DA1F05524C92CC1C12C6F3028119FFAEECB4E132B708E75AC7BA5A7538D484ADA473505990rBI1F" TargetMode = "External"/>
	<Relationship Id="rId105" Type="http://schemas.openxmlformats.org/officeDocument/2006/relationships/header" Target="header2.xml"/>
	<Relationship Id="rId106" Type="http://schemas.openxmlformats.org/officeDocument/2006/relationships/footer" Target="footer2.xml"/>
	<Relationship Id="rId107" Type="http://schemas.openxmlformats.org/officeDocument/2006/relationships/hyperlink" Target="consultantplus://offline/ref=9DA21847E7A3A61E9CEB3C122883B58954905345D51C35D81805524C92CC1C12C6F3028119FFAEECB4E133B50EE75AC7BA5A7538D484ADA473505990rBI1F" TargetMode = "External"/>
	<Relationship Id="rId108" Type="http://schemas.openxmlformats.org/officeDocument/2006/relationships/hyperlink" Target="consultantplus://offline/ref=9DA21847E7A3A61E9CEB3C122883B58954905345D51838DA1F05524C92CC1C12C6F3028119FFAEECB4E132B707E75AC7BA5A7538D484ADA473505990rBI1F" TargetMode = "External"/>
	<Relationship Id="rId109" Type="http://schemas.openxmlformats.org/officeDocument/2006/relationships/hyperlink" Target="consultantplus://offline/ref=9DA21847E7A3A61E9CEB3C122883B58954905345D5173DDE1F05524C92CC1C12C6F3028119FFAEECB4E132B70DE75AC7BA5A7538D484ADA473505990rBI1F"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30.05.2018 N 294-п
(ред. от 10.05.2023)
"Об утверждении Порядка предоставления и расходования субвенции из бюджета Пермского края бюджетам муниципальных образований Пермского края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dc:title>
  <dcterms:created xsi:type="dcterms:W3CDTF">2023-10-02T05:08:42Z</dcterms:created>
</cp:coreProperties>
</file>