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Кунгурского муниципального округа от 21.09.2021 N 1008-171-01-09</w:t>
              <w:br/>
              <w:t xml:space="preserve">(ред. от 07.12.2021)</w:t>
              <w:br/>
              <w:t xml:space="preserve">"Об утверждении Порядка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КУНГУРСКОГО МУНИЦИПАЛЬНОГО ОКРУГА</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21 сентября 2021 г. N 1008-171-01-09</w:t>
      </w:r>
    </w:p>
    <w:p>
      <w:pPr>
        <w:pStyle w:val="2"/>
        <w:jc w:val="center"/>
      </w:pPr>
      <w:r>
        <w:rPr>
          <w:sz w:val="20"/>
        </w:rPr>
      </w:r>
    </w:p>
    <w:p>
      <w:pPr>
        <w:pStyle w:val="2"/>
        <w:jc w:val="center"/>
      </w:pPr>
      <w:r>
        <w:rPr>
          <w:sz w:val="20"/>
        </w:rPr>
        <w:t xml:space="preserve">ОБ УТВЕРЖДЕНИИ ПОРЯДКА ФОРМИРОВАНИЯ МУНИЦИПАЛЬНОГО ЗАДАНИЯ</w:t>
      </w:r>
    </w:p>
    <w:p>
      <w:pPr>
        <w:pStyle w:val="2"/>
        <w:jc w:val="center"/>
      </w:pPr>
      <w:r>
        <w:rPr>
          <w:sz w:val="20"/>
        </w:rPr>
        <w:t xml:space="preserve">НА ОКАЗАНИЕ МУНИЦИПАЛЬНЫХ УСЛУГ (ВЫПОЛНЕНИЕ) РАБОТ</w:t>
      </w:r>
    </w:p>
    <w:p>
      <w:pPr>
        <w:pStyle w:val="2"/>
        <w:jc w:val="center"/>
      </w:pPr>
      <w:r>
        <w:rPr>
          <w:sz w:val="20"/>
        </w:rPr>
        <w:t xml:space="preserve">В ОТНОШЕНИИ МУНИЦИПАЛЬНЫХ УЧРЕЖДЕНИЙ КУНГУРСКОГО</w:t>
      </w:r>
    </w:p>
    <w:p>
      <w:pPr>
        <w:pStyle w:val="2"/>
        <w:jc w:val="center"/>
      </w:pPr>
      <w:r>
        <w:rPr>
          <w:sz w:val="20"/>
        </w:rPr>
        <w:t xml:space="preserve">МУНИЦИПАЛЬНОГО ОКРУГА ПЕРМСКОГО КРАЯ И ФИНАНСОВОГО</w:t>
      </w:r>
    </w:p>
    <w:p>
      <w:pPr>
        <w:pStyle w:val="2"/>
        <w:jc w:val="center"/>
      </w:pPr>
      <w:r>
        <w:rPr>
          <w:sz w:val="20"/>
        </w:rPr>
        <w:t xml:space="preserve">ОБЕСПЕЧЕНИЯ ВЫПОЛНЕНИЯ МУНИЦИПАЛЬНОГО ЗАДАНИЯ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остановление Администрации Кунгурского муниципального округа от 07.12.2021 N 1500-171-01-09 &quot;О внесении изменений в Порядок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 утвержденный постановлением администрации Кунгурского муниципального округа Пермского края от 21.09.2021 N 1008-171-01-09&quot; {КонсультантПлюс}">
              <w:r>
                <w:rPr>
                  <w:sz w:val="20"/>
                  <w:color w:val="0000ff"/>
                </w:rPr>
                <w:t xml:space="preserve">Постановления</w:t>
              </w:r>
            </w:hyperlink>
            <w:r>
              <w:rPr>
                <w:sz w:val="20"/>
                <w:color w:val="392c69"/>
              </w:rPr>
              <w:t xml:space="preserve"> Администрации Кунгурского муниципального округа</w:t>
            </w:r>
          </w:p>
          <w:p>
            <w:pPr>
              <w:pStyle w:val="0"/>
              <w:jc w:val="center"/>
            </w:pPr>
            <w:r>
              <w:rPr>
                <w:sz w:val="20"/>
                <w:color w:val="392c69"/>
              </w:rPr>
              <w:t xml:space="preserve">от 07.12.2021 N 1500-171-01-09)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8"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пунктами 3</w:t>
        </w:r>
      </w:hyperlink>
      <w:r>
        <w:rPr>
          <w:sz w:val="20"/>
        </w:rPr>
        <w:t xml:space="preserve">, </w:t>
      </w:r>
      <w:hyperlink w:history="0" r:id="rId9"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4 статьи 69.2</w:t>
        </w:r>
      </w:hyperlink>
      <w:r>
        <w:rPr>
          <w:sz w:val="20"/>
        </w:rPr>
        <w:t xml:space="preserve"> Бюджетного кодекса Российской Федерации, </w:t>
      </w:r>
      <w:hyperlink w:history="0" r:id="rId10" w:tooltip="Федеральный закон от 12.01.1996 N 7-ФЗ (ред. от 31.07.2023) &quot;О некоммерческих организациях&quot; {КонсультантПлюс}">
        <w:r>
          <w:rPr>
            <w:sz w:val="20"/>
            <w:color w:val="0000ff"/>
          </w:rPr>
          <w:t xml:space="preserve">подпунктом 3 пункта 7 статьи 9.2</w:t>
        </w:r>
      </w:hyperlink>
      <w:r>
        <w:rPr>
          <w:sz w:val="20"/>
        </w:rPr>
        <w:t xml:space="preserve"> Федерального закона от 12 января 1996 г. N 7-ФЗ "О некоммерческих организациях", </w:t>
      </w:r>
      <w:hyperlink w:history="0" r:id="rId11" w:tooltip="Федеральный закон от 03.11.2006 N 174-ФЗ (ред. от 21.11.2022) &quot;Об автономных учреждениях&quot; {КонсультантПлюс}">
        <w:r>
          <w:rPr>
            <w:sz w:val="20"/>
            <w:color w:val="0000ff"/>
          </w:rPr>
          <w:t xml:space="preserve">пунктом 3 части 5 статьи 4</w:t>
        </w:r>
      </w:hyperlink>
      <w:r>
        <w:rPr>
          <w:sz w:val="20"/>
        </w:rPr>
        <w:t xml:space="preserve"> Федерального закона от 03 ноября 2006 г. N 174-ФЗ "Об автономных учреждениях" Администрация Кунгурского муниципального округа Пермского края постановляет:</w:t>
      </w:r>
    </w:p>
    <w:p>
      <w:pPr>
        <w:pStyle w:val="0"/>
        <w:jc w:val="both"/>
      </w:pPr>
      <w:r>
        <w:rPr>
          <w:sz w:val="20"/>
        </w:rPr>
      </w:r>
    </w:p>
    <w:p>
      <w:pPr>
        <w:pStyle w:val="0"/>
        <w:ind w:firstLine="540"/>
        <w:jc w:val="both"/>
      </w:pPr>
      <w:r>
        <w:rPr>
          <w:sz w:val="20"/>
        </w:rPr>
        <w:t xml:space="preserve">1. Утвердить прилагаемый </w:t>
      </w:r>
      <w:hyperlink w:history="0" w:anchor="P39" w:tooltip="ПОРЯДОК">
        <w:r>
          <w:rPr>
            <w:sz w:val="20"/>
            <w:color w:val="0000ff"/>
          </w:rPr>
          <w:t xml:space="preserve">Порядок</w:t>
        </w:r>
      </w:hyperlink>
      <w:r>
        <w:rPr>
          <w:sz w:val="20"/>
        </w:rPr>
        <w:t xml:space="preserve">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w:t>
      </w:r>
    </w:p>
    <w:p>
      <w:pPr>
        <w:pStyle w:val="0"/>
        <w:spacing w:before="200" w:line-rule="auto"/>
        <w:ind w:firstLine="540"/>
        <w:jc w:val="both"/>
      </w:pPr>
      <w:r>
        <w:rPr>
          <w:sz w:val="20"/>
        </w:rPr>
        <w:t xml:space="preserve">2. Опубликовать постановление в Официальном бюллетене органов местного самоуправления муниципального образования "Кунгурский муниципальный округ Пермского края".</w:t>
      </w:r>
    </w:p>
    <w:p>
      <w:pPr>
        <w:pStyle w:val="0"/>
        <w:spacing w:before="200" w:line-rule="auto"/>
        <w:ind w:firstLine="540"/>
        <w:jc w:val="both"/>
      </w:pPr>
      <w:r>
        <w:rPr>
          <w:sz w:val="20"/>
        </w:rPr>
        <w:t xml:space="preserve">3. Постановление вступает в силу с 1 января 2022 года и применяется при расчете объема финансового обеспечения выполнения муниципального задания, начиная с муниципального задания на 2022 год и на плановый период 2023 и 2024 годов.</w:t>
      </w:r>
    </w:p>
    <w:p>
      <w:pPr>
        <w:pStyle w:val="0"/>
        <w:spacing w:before="200" w:line-rule="auto"/>
        <w:ind w:firstLine="540"/>
        <w:jc w:val="both"/>
      </w:pPr>
      <w:r>
        <w:rPr>
          <w:sz w:val="20"/>
        </w:rPr>
        <w:t xml:space="preserve">4. Контроль за исполнением постановления оставляю за собой.</w:t>
      </w:r>
    </w:p>
    <w:p>
      <w:pPr>
        <w:pStyle w:val="0"/>
        <w:jc w:val="both"/>
      </w:pPr>
      <w:r>
        <w:rPr>
          <w:sz w:val="20"/>
        </w:rPr>
      </w:r>
    </w:p>
    <w:p>
      <w:pPr>
        <w:pStyle w:val="0"/>
        <w:jc w:val="right"/>
      </w:pPr>
      <w:r>
        <w:rPr>
          <w:sz w:val="20"/>
        </w:rPr>
        <w:t xml:space="preserve">Глава муниципального округа -</w:t>
      </w:r>
    </w:p>
    <w:p>
      <w:pPr>
        <w:pStyle w:val="0"/>
        <w:jc w:val="right"/>
      </w:pPr>
      <w:r>
        <w:rPr>
          <w:sz w:val="20"/>
        </w:rPr>
        <w:t xml:space="preserve">глава администрации Кунгурского</w:t>
      </w:r>
    </w:p>
    <w:p>
      <w:pPr>
        <w:pStyle w:val="0"/>
        <w:jc w:val="right"/>
      </w:pPr>
      <w:r>
        <w:rPr>
          <w:sz w:val="20"/>
        </w:rPr>
        <w:t xml:space="preserve">муниципального округа</w:t>
      </w:r>
    </w:p>
    <w:p>
      <w:pPr>
        <w:pStyle w:val="0"/>
        <w:jc w:val="right"/>
      </w:pPr>
      <w:r>
        <w:rPr>
          <w:sz w:val="20"/>
        </w:rPr>
        <w:t xml:space="preserve">Пермского края</w:t>
      </w:r>
    </w:p>
    <w:p>
      <w:pPr>
        <w:pStyle w:val="0"/>
        <w:jc w:val="right"/>
      </w:pPr>
      <w:r>
        <w:rPr>
          <w:sz w:val="20"/>
        </w:rPr>
        <w:t xml:space="preserve">В.И.ЛЫСАНОВ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Кунгурского</w:t>
      </w:r>
    </w:p>
    <w:p>
      <w:pPr>
        <w:pStyle w:val="0"/>
        <w:jc w:val="right"/>
      </w:pPr>
      <w:r>
        <w:rPr>
          <w:sz w:val="20"/>
        </w:rPr>
        <w:t xml:space="preserve">муниципального округа</w:t>
      </w:r>
    </w:p>
    <w:p>
      <w:pPr>
        <w:pStyle w:val="0"/>
        <w:jc w:val="right"/>
      </w:pPr>
      <w:r>
        <w:rPr>
          <w:sz w:val="20"/>
        </w:rPr>
        <w:t xml:space="preserve">Пермского края</w:t>
      </w:r>
    </w:p>
    <w:p>
      <w:pPr>
        <w:pStyle w:val="0"/>
        <w:jc w:val="right"/>
      </w:pPr>
      <w:r>
        <w:rPr>
          <w:sz w:val="20"/>
        </w:rPr>
        <w:t xml:space="preserve">от 21.09.2021 N 1008-171-01-09</w:t>
      </w:r>
    </w:p>
    <w:p>
      <w:pPr>
        <w:pStyle w:val="0"/>
        <w:jc w:val="both"/>
      </w:pPr>
      <w:r>
        <w:rPr>
          <w:sz w:val="20"/>
        </w:rPr>
      </w:r>
    </w:p>
    <w:bookmarkStart w:id="39" w:name="P39"/>
    <w:bookmarkEnd w:id="39"/>
    <w:p>
      <w:pPr>
        <w:pStyle w:val="2"/>
        <w:jc w:val="center"/>
      </w:pPr>
      <w:r>
        <w:rPr>
          <w:sz w:val="20"/>
        </w:rPr>
        <w:t xml:space="preserve">ПОРЯДОК</w:t>
      </w:r>
    </w:p>
    <w:p>
      <w:pPr>
        <w:pStyle w:val="2"/>
        <w:jc w:val="center"/>
      </w:pPr>
      <w:r>
        <w:rPr>
          <w:sz w:val="20"/>
        </w:rPr>
        <w:t xml:space="preserve">ФОРМИРОВАНИЯ МУНИЦИПАЛЬНОГО ЗАДАНИЯ НА ОКАЗАНИЕ</w:t>
      </w:r>
    </w:p>
    <w:p>
      <w:pPr>
        <w:pStyle w:val="2"/>
        <w:jc w:val="center"/>
      </w:pPr>
      <w:r>
        <w:rPr>
          <w:sz w:val="20"/>
        </w:rPr>
        <w:t xml:space="preserve">МУНИЦИПАЛЬНЫХ УСЛУГ (ВЫПОЛНЕНИЕ РАБОТ) В ОТНОШЕНИИ</w:t>
      </w:r>
    </w:p>
    <w:p>
      <w:pPr>
        <w:pStyle w:val="2"/>
        <w:jc w:val="center"/>
      </w:pPr>
      <w:r>
        <w:rPr>
          <w:sz w:val="20"/>
        </w:rPr>
        <w:t xml:space="preserve">МУНИЦИПАЛЬНЫХ УЧРЕЖДЕНИЙ КУНГУРСКОГО МУНИЦИПАЛЬНОГО ОКРУГА</w:t>
      </w:r>
    </w:p>
    <w:p>
      <w:pPr>
        <w:pStyle w:val="2"/>
        <w:jc w:val="center"/>
      </w:pPr>
      <w:r>
        <w:rPr>
          <w:sz w:val="20"/>
        </w:rPr>
        <w:t xml:space="preserve">ПЕРМСКОГО КРАЯ И ФИНАНСОВОГО ОБЕСПЕЧЕНИЯ ВЫПОЛНЕНИЯ</w:t>
      </w:r>
    </w:p>
    <w:p>
      <w:pPr>
        <w:pStyle w:val="2"/>
        <w:jc w:val="center"/>
      </w:pPr>
      <w:r>
        <w:rPr>
          <w:sz w:val="20"/>
        </w:rPr>
        <w:t xml:space="preserve">МУНИЦИПАЛЬНОГО ЗАДАНИЯ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 w:tooltip="Постановление Администрации Кунгурского муниципального округа от 07.12.2021 N 1500-171-01-09 &quot;О внесении изменений в Порядок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 утвержденный постановлением администрации Кунгурского муниципального округа Пермского края от 21.09.2021 N 1008-171-01-09&quot; {КонсультантПлюс}">
              <w:r>
                <w:rPr>
                  <w:sz w:val="20"/>
                  <w:color w:val="0000ff"/>
                </w:rPr>
                <w:t xml:space="preserve">Постановления</w:t>
              </w:r>
            </w:hyperlink>
            <w:r>
              <w:rPr>
                <w:sz w:val="20"/>
                <w:color w:val="392c69"/>
              </w:rPr>
              <w:t xml:space="preserve"> Администрации Кунгурского муниципального округа</w:t>
            </w:r>
          </w:p>
          <w:p>
            <w:pPr>
              <w:pStyle w:val="0"/>
              <w:jc w:val="center"/>
            </w:pPr>
            <w:r>
              <w:rPr>
                <w:sz w:val="20"/>
                <w:color w:val="392c69"/>
              </w:rPr>
              <w:t xml:space="preserve">от 07.12.2021 N 1500-171-01-09)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Настоящий Порядок устанавливает правила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муниципальными казенными, бюджетными и автономными учреждениями Кунгурского муниципального округа Пермского края (далее соответственно - муниципальное учреждение, округ).</w:t>
      </w:r>
    </w:p>
    <w:p>
      <w:pPr>
        <w:pStyle w:val="0"/>
        <w:jc w:val="both"/>
      </w:pPr>
      <w:r>
        <w:rPr>
          <w:sz w:val="20"/>
        </w:rPr>
      </w:r>
    </w:p>
    <w:p>
      <w:pPr>
        <w:pStyle w:val="2"/>
        <w:outlineLvl w:val="1"/>
        <w:jc w:val="center"/>
      </w:pPr>
      <w:r>
        <w:rPr>
          <w:sz w:val="20"/>
        </w:rPr>
        <w:t xml:space="preserve">II. Формирование муниципального задания</w:t>
      </w:r>
    </w:p>
    <w:p>
      <w:pPr>
        <w:pStyle w:val="0"/>
        <w:jc w:val="both"/>
      </w:pPr>
      <w:r>
        <w:rPr>
          <w:sz w:val="20"/>
        </w:rPr>
      </w:r>
    </w:p>
    <w:p>
      <w:pPr>
        <w:pStyle w:val="0"/>
        <w:ind w:firstLine="540"/>
        <w:jc w:val="both"/>
      </w:pPr>
      <w:r>
        <w:rPr>
          <w:sz w:val="20"/>
        </w:rPr>
        <w:t xml:space="preserve">2. Муниципальное задание формируется в соответствии с основными видами деятельности, предусмотренными учредительными документами муниципального учреждения, с учетом предложений муниципального учреждения, касающихся потребности в соответствующих услугах и работах, оцениваемых на основании прогнозируемой динамики количества потребителей услуг и работ, уровня удовлетворенности существующими объемом и качеством услуг и результатов работ и возможностей муниципального учреждения по оказанию услуг и выполнению работ, а также показателей выполнения муниципальным учреждением муниципального задания в отчетном финансовом году.</w:t>
      </w:r>
    </w:p>
    <w:p>
      <w:pPr>
        <w:pStyle w:val="0"/>
        <w:spacing w:before="200" w:line-rule="auto"/>
        <w:ind w:firstLine="540"/>
        <w:jc w:val="both"/>
      </w:pPr>
      <w:r>
        <w:rPr>
          <w:sz w:val="20"/>
        </w:rPr>
        <w:t xml:space="preserve">Муниципальное задание является обязательным для муниципального бюджетного и автономного учреждения.</w:t>
      </w:r>
    </w:p>
    <w:p>
      <w:pPr>
        <w:pStyle w:val="0"/>
        <w:spacing w:before="200" w:line-rule="auto"/>
        <w:ind w:firstLine="540"/>
        <w:jc w:val="both"/>
      </w:pPr>
      <w:r>
        <w:rPr>
          <w:sz w:val="20"/>
        </w:rPr>
        <w:t xml:space="preserve">3. Муниципальное </w:t>
      </w:r>
      <w:hyperlink w:history="0" w:anchor="P216" w:tooltip="МУНИЦИПАЛЬНОЕ ЗАДАНИЕ N &lt;1&gt;">
        <w:r>
          <w:rPr>
            <w:sz w:val="20"/>
            <w:color w:val="0000ff"/>
          </w:rPr>
          <w:t xml:space="preserve">задание</w:t>
        </w:r>
      </w:hyperlink>
      <w:r>
        <w:rPr>
          <w:sz w:val="20"/>
        </w:rPr>
        <w:t xml:space="preserve"> формируется по форме согласно приложению 1 к настоящему Порядку и содержит показатели, характеризующие качество и (или) объем (содержание) оказываемых муниципальных услуг (выполняемых работ), определение категорий физических и (или) юридических лиц, являющихся потребителями соответствующих услуг, 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 порядок оказания соответствующих услуг, порядок контроля за выполнением муниципального задания, в том числе условия и порядок его досрочного прекращения, требования к отчетности о выполнении муниципального задания.</w:t>
      </w:r>
    </w:p>
    <w:p>
      <w:pPr>
        <w:pStyle w:val="0"/>
        <w:spacing w:before="200" w:line-rule="auto"/>
        <w:ind w:firstLine="540"/>
        <w:jc w:val="both"/>
      </w:pPr>
      <w:r>
        <w:rPr>
          <w:sz w:val="20"/>
        </w:rPr>
        <w:t xml:space="preserve">При установлении муниципальному учреждению муниципального задания на оказание нескольких муниципальных услуг (выполнение нескольких работ) муниципальное задание формируется из нескольких разделов, каждый из которых должен содержать требования к оказанию одной муниципальной услуги (выполнению одной работы).</w:t>
      </w:r>
    </w:p>
    <w:p>
      <w:pPr>
        <w:pStyle w:val="0"/>
        <w:spacing w:before="200" w:line-rule="auto"/>
        <w:ind w:firstLine="540"/>
        <w:jc w:val="both"/>
      </w:pPr>
      <w:r>
        <w:rPr>
          <w:sz w:val="20"/>
        </w:rPr>
        <w:t xml:space="preserve">При установлении муниципальному учреждению муниципального задания одновременно на оказание муниципальной услуги (услуг) и выполнение работы (работ) муниципальное задание формируется из 2 частей, каждая из которых должна содержать отдельно требования к оказанию муниципальной услуги (услуг) и выполнению работы (работ). Информация, касающаяся муниципального задания в целом, включается в 3-ю часть муниципального задания.</w:t>
      </w:r>
    </w:p>
    <w:p>
      <w:pPr>
        <w:pStyle w:val="0"/>
        <w:spacing w:before="200" w:line-rule="auto"/>
        <w:ind w:firstLine="540"/>
        <w:jc w:val="both"/>
      </w:pPr>
      <w:r>
        <w:rPr>
          <w:sz w:val="20"/>
        </w:rPr>
        <w:t xml:space="preserve">В муниципальном задании устанавливаются допустимые (возможные) отклонения в процентах (абсолютных величинах) от установленных значений показателей качества и (или) объема. Значения указанных показателей, устанавливаемые на текущий финансовый год, могут быть изменены только при формировании муниципального задания на очередной финансовый год.</w:t>
      </w:r>
    </w:p>
    <w:p>
      <w:pPr>
        <w:pStyle w:val="0"/>
        <w:spacing w:before="200" w:line-rule="auto"/>
        <w:ind w:firstLine="540"/>
        <w:jc w:val="both"/>
      </w:pPr>
      <w:r>
        <w:rPr>
          <w:sz w:val="20"/>
        </w:rPr>
        <w:t xml:space="preserve">Порядок определения и применения значений допустимых (возможных) отклонений устанавливается правовым актом отраслевого (функционального) органа администрации Кунгурского муниципального округа Пермского края, осуществляющего функции и полномочия учредителя в отношении муниципальных учреждений.</w:t>
      </w:r>
    </w:p>
    <w:p>
      <w:pPr>
        <w:pStyle w:val="0"/>
        <w:spacing w:before="200" w:line-rule="auto"/>
        <w:ind w:firstLine="540"/>
        <w:jc w:val="both"/>
      </w:pPr>
      <w:r>
        <w:rPr>
          <w:sz w:val="20"/>
        </w:rPr>
        <w:t xml:space="preserve">4. Муниципальное задание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порядке, установленном Правительством Российской Федерации, а в отношении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Пермского края или правовыми актами округа, в соответствии с региональным перечнем (классификатором) государственных (муниципальных) услуг, формирование, ведение и утверждение которых осуществляется в порядке, установленном Правительством Пермского края.</w:t>
      </w:r>
    </w:p>
    <w:p>
      <w:pPr>
        <w:pStyle w:val="0"/>
        <w:spacing w:before="200" w:line-rule="auto"/>
        <w:ind w:firstLine="540"/>
        <w:jc w:val="both"/>
      </w:pPr>
      <w:r>
        <w:rPr>
          <w:sz w:val="20"/>
        </w:rPr>
        <w:t xml:space="preserve">5. Муниципальное задание формируется в процессе формирования бюджета округа на очередной финансовый год и на плановый период и утверждается не позднее 15 рабочих дней со дня утверждения главным распорядителям средств бюджета округа лимитов бюджетных обязательств на обеспечение выполнения функций казенных учреждений по оказанию муниципальных услуг (выполнению работ), предоставление субсидии на финансовое обеспечение выполнения муниципального задания (далее - субсидия) в отношении:</w:t>
      </w:r>
    </w:p>
    <w:p>
      <w:pPr>
        <w:pStyle w:val="0"/>
        <w:spacing w:before="200" w:line-rule="auto"/>
        <w:ind w:firstLine="540"/>
        <w:jc w:val="both"/>
      </w:pPr>
      <w:r>
        <w:rPr>
          <w:sz w:val="20"/>
        </w:rPr>
        <w:t xml:space="preserve">а) муниципальных казенных учреждений - главными распорядителями средств бюджета округа, в ведении которых находятся казенные учреждения (далее - ГРБС);</w:t>
      </w:r>
    </w:p>
    <w:p>
      <w:pPr>
        <w:pStyle w:val="0"/>
        <w:spacing w:before="200" w:line-rule="auto"/>
        <w:ind w:firstLine="540"/>
        <w:jc w:val="both"/>
      </w:pPr>
      <w:r>
        <w:rPr>
          <w:sz w:val="20"/>
        </w:rPr>
        <w:t xml:space="preserve">б) муниципальных бюджетных или автономных учреждений - отраслевыми (функциональными) органами администрации Кунгурского муниципального округа Пермского края, осуществляющими функции и полномочия учредителя в отношении муниципальных бюджетных и автономных учреждений (далее - учредитель).</w:t>
      </w:r>
    </w:p>
    <w:p>
      <w:pPr>
        <w:pStyle w:val="0"/>
        <w:spacing w:before="200" w:line-rule="auto"/>
        <w:ind w:firstLine="540"/>
        <w:jc w:val="both"/>
      </w:pPr>
      <w:r>
        <w:rPr>
          <w:sz w:val="20"/>
        </w:rPr>
        <w:t xml:space="preserve">В случае внесения изменений в показатели муниципального задания формируется новое муниципальное задание (с учетом внесенных изменений) в соответствии с положениями, определенными настоящим Порядком.</w:t>
      </w:r>
    </w:p>
    <w:bookmarkStart w:id="67" w:name="P67"/>
    <w:bookmarkEnd w:id="67"/>
    <w:p>
      <w:pPr>
        <w:pStyle w:val="0"/>
        <w:spacing w:before="200" w:line-rule="auto"/>
        <w:ind w:firstLine="540"/>
        <w:jc w:val="both"/>
      </w:pPr>
      <w:r>
        <w:rPr>
          <w:sz w:val="20"/>
        </w:rPr>
        <w:t xml:space="preserve">При изменении подведомственности муниципального учреждения в муниципальном задании подлежит изменению информация, включенная в 3-ю часть муниципального задания, в том числе в части уточнения положений о периодичности и сроках представления отчетов о выполнении муниципального задания, сроков представления предварительного отчета о выполнении муниципального задания, а также порядка осуществления контроля за выполнением муниципального задания.</w:t>
      </w:r>
    </w:p>
    <w:p>
      <w:pPr>
        <w:pStyle w:val="0"/>
        <w:spacing w:before="200" w:line-rule="auto"/>
        <w:ind w:firstLine="540"/>
        <w:jc w:val="both"/>
      </w:pPr>
      <w:r>
        <w:rPr>
          <w:sz w:val="20"/>
        </w:rPr>
        <w:t xml:space="preserve">При реорганизации муниципального учреждения (слияние, присоединение, выделение, разделение) муниципальное задание подлежит изменению в части уточнения показателей муниципального задания.</w:t>
      </w:r>
    </w:p>
    <w:p>
      <w:pPr>
        <w:pStyle w:val="0"/>
        <w:spacing w:before="200" w:line-rule="auto"/>
        <w:ind w:firstLine="540"/>
        <w:jc w:val="both"/>
      </w:pPr>
      <w:r>
        <w:rPr>
          <w:sz w:val="20"/>
        </w:rPr>
        <w:t xml:space="preserve">При реорганизации муниципального учреждения в форме слияния, присоединения показатели муниципального задания муниципальных учреждений - правопреемников формируются с учетом показателей муниципальных заданий реорганизуемых муниципальных учреждений, прекращающих свою деятельность, путем суммирования (построчного объединения) показателей муниципальных заданий реорганизованных учреждений.</w:t>
      </w:r>
    </w:p>
    <w:bookmarkStart w:id="70" w:name="P70"/>
    <w:bookmarkEnd w:id="70"/>
    <w:p>
      <w:pPr>
        <w:pStyle w:val="0"/>
        <w:spacing w:before="200" w:line-rule="auto"/>
        <w:ind w:firstLine="540"/>
        <w:jc w:val="both"/>
      </w:pPr>
      <w:r>
        <w:rPr>
          <w:sz w:val="20"/>
        </w:rPr>
        <w:t xml:space="preserve">При реорганизации муниципального учреждения в форме выделения показатели муниципального задания муниципального учреждения, реорганизованного путем выделения из него других муниципальных учреждений, подлежат уменьшению на показатели муниципальных заданий вновь возникших юридических лиц.</w:t>
      </w:r>
    </w:p>
    <w:p>
      <w:pPr>
        <w:pStyle w:val="0"/>
        <w:spacing w:before="200" w:line-rule="auto"/>
        <w:ind w:firstLine="540"/>
        <w:jc w:val="both"/>
      </w:pPr>
      <w:r>
        <w:rPr>
          <w:sz w:val="20"/>
        </w:rPr>
        <w:t xml:space="preserve">При реорганизации муниципального учреждения в форме разделения показатели муниципальных заданий вновь возникших юридических лиц формируются путем разделения соответствующих показателей муниципального задания реорганизованного муниципального учреждения, прекращающего свою деятельность.</w:t>
      </w:r>
    </w:p>
    <w:p>
      <w:pPr>
        <w:pStyle w:val="0"/>
        <w:spacing w:before="200" w:line-rule="auto"/>
        <w:ind w:firstLine="540"/>
        <w:jc w:val="both"/>
      </w:pPr>
      <w:r>
        <w:rPr>
          <w:sz w:val="20"/>
        </w:rPr>
        <w:t xml:space="preserve">Показатели муниципальных заданий муниципальных учреждений, прекращающих свою деятельность в результате реорганизации, принимают нулевые значения.</w:t>
      </w:r>
    </w:p>
    <w:p>
      <w:pPr>
        <w:pStyle w:val="0"/>
        <w:spacing w:before="200" w:line-rule="auto"/>
        <w:ind w:firstLine="540"/>
        <w:jc w:val="both"/>
      </w:pPr>
      <w:r>
        <w:rPr>
          <w:sz w:val="20"/>
        </w:rPr>
        <w:t xml:space="preserve">Показатели муниципальных заданий реорганизованных муниципальных учреждений, за исключением муниципальных учреждений, прекращающих свою деятельность, после завершения реорганизации при суммировании соответствующих показателей должны соответствовать показателям муниципальных заданий указанных муниципальных учреждений до начала их реорганизации.</w:t>
      </w:r>
    </w:p>
    <w:p>
      <w:pPr>
        <w:pStyle w:val="0"/>
        <w:spacing w:before="200" w:line-rule="auto"/>
        <w:ind w:firstLine="540"/>
        <w:jc w:val="both"/>
      </w:pPr>
      <w:r>
        <w:rPr>
          <w:sz w:val="20"/>
        </w:rPr>
        <w:t xml:space="preserve">6. Показатели муниципального задания используются при составлении проекта бюджета для планирования бюджетных ассигнований на оказание муниципальных услуг (выполнение работ), составлении бюджетной сметы казенного учреждения, а также для определения объема субсидий на выполнение муниципального задания муниципальным бюджетным или автономным учреждением.</w:t>
      </w:r>
    </w:p>
    <w:p>
      <w:pPr>
        <w:pStyle w:val="0"/>
        <w:spacing w:before="200" w:line-rule="auto"/>
        <w:ind w:firstLine="540"/>
        <w:jc w:val="both"/>
      </w:pPr>
      <w:r>
        <w:rPr>
          <w:sz w:val="20"/>
        </w:rPr>
        <w:t xml:space="preserve">В период составления проекта бюджета ГРБС, учредители представляют в Управление финансов и экономики Кунгурского муниципального округа Пермского края (далее - управление финансов и экономики) информацию об оказываемых муниципальными учреждениями услугах (работах) в сроки, установленные планом подготовки прогноза социально-экономического развития округа и проекта решения о бюджете округа на очередной финансовый год и на плановый период.</w:t>
      </w:r>
    </w:p>
    <w:p>
      <w:pPr>
        <w:pStyle w:val="0"/>
        <w:spacing w:before="200" w:line-rule="auto"/>
        <w:ind w:firstLine="540"/>
        <w:jc w:val="both"/>
      </w:pPr>
      <w:r>
        <w:rPr>
          <w:sz w:val="20"/>
        </w:rPr>
        <w:t xml:space="preserve">7. Муниципальное задание и </w:t>
      </w:r>
      <w:hyperlink w:history="0" w:anchor="P782" w:tooltip="ОТЧЕТ О ВЫПОЛНЕНИИ">
        <w:r>
          <w:rPr>
            <w:sz w:val="20"/>
            <w:color w:val="0000ff"/>
          </w:rPr>
          <w:t xml:space="preserve">отчет</w:t>
        </w:r>
      </w:hyperlink>
      <w:r>
        <w:rPr>
          <w:sz w:val="20"/>
        </w:rPr>
        <w:t xml:space="preserve"> о выполнении муниципального задания, формируемый согласно приложению 2 к настоящему Порядку, за исключением содержащихся в них сведений, отнесенных к государственной тайне, размещаются муниципальными казенными, бюджетными и автономными учреждениями на официальном сайте Российской Федерации для размещения информации о государственных (муниципальных) учреждениях в информационно-телекоммуникационной сети "Интернет" по адресу: </w:t>
      </w:r>
      <w:r>
        <w:rPr>
          <w:sz w:val="20"/>
        </w:rPr>
        <w:t xml:space="preserve">www.bus.gov.ru</w:t>
      </w:r>
      <w:r>
        <w:rPr>
          <w:sz w:val="20"/>
        </w:rPr>
        <w:t xml:space="preserve"> в порядке, установленном Министерством финансов Российской Федерации.</w:t>
      </w:r>
    </w:p>
    <w:p>
      <w:pPr>
        <w:pStyle w:val="0"/>
        <w:spacing w:before="200" w:line-rule="auto"/>
        <w:ind w:firstLine="540"/>
        <w:jc w:val="both"/>
      </w:pPr>
      <w:r>
        <w:rPr>
          <w:sz w:val="20"/>
        </w:rPr>
        <w:t xml:space="preserve">8. Контроль за выполнением муниципального задания муниципальными бюджетными и автономными учреждениями, муниципальными казенными учреждениями осуществляют соответственно учредители и ГРБС.</w:t>
      </w:r>
    </w:p>
    <w:p>
      <w:pPr>
        <w:pStyle w:val="0"/>
        <w:spacing w:before="200" w:line-rule="auto"/>
        <w:ind w:firstLine="540"/>
        <w:jc w:val="both"/>
      </w:pPr>
      <w:r>
        <w:rPr>
          <w:sz w:val="20"/>
        </w:rPr>
        <w:t xml:space="preserve">Контроль за использованием финансовых средств, переданных на выполнение муниципального задания, осуществляется органами муниципального финансового контроля в соответствии с действующим законодательством.</w:t>
      </w:r>
    </w:p>
    <w:p>
      <w:pPr>
        <w:pStyle w:val="0"/>
        <w:jc w:val="both"/>
      </w:pPr>
      <w:r>
        <w:rPr>
          <w:sz w:val="20"/>
        </w:rPr>
      </w:r>
    </w:p>
    <w:p>
      <w:pPr>
        <w:pStyle w:val="2"/>
        <w:outlineLvl w:val="1"/>
        <w:jc w:val="center"/>
      </w:pPr>
      <w:r>
        <w:rPr>
          <w:sz w:val="20"/>
        </w:rPr>
        <w:t xml:space="preserve">III. Финансовое обеспечение муниципального задания</w:t>
      </w:r>
    </w:p>
    <w:p>
      <w:pPr>
        <w:pStyle w:val="0"/>
        <w:jc w:val="both"/>
      </w:pPr>
      <w:r>
        <w:rPr>
          <w:sz w:val="20"/>
        </w:rPr>
      </w:r>
    </w:p>
    <w:p>
      <w:pPr>
        <w:pStyle w:val="0"/>
        <w:ind w:firstLine="540"/>
        <w:jc w:val="both"/>
      </w:pPr>
      <w:r>
        <w:rPr>
          <w:sz w:val="20"/>
        </w:rPr>
        <w:t xml:space="preserve">9. Финансовое обеспечение выполнения муниципального задания осуществляется в пределах бюджетных ассигнований, предусмотренных в бюджете округа на соответствующие цели на очередной финансовый год и плановый период.</w:t>
      </w:r>
    </w:p>
    <w:p>
      <w:pPr>
        <w:pStyle w:val="0"/>
        <w:spacing w:before="200" w:line-rule="auto"/>
        <w:ind w:firstLine="540"/>
        <w:jc w:val="both"/>
      </w:pPr>
      <w:r>
        <w:rPr>
          <w:sz w:val="20"/>
        </w:rPr>
        <w:t xml:space="preserve">10. Финансовое обеспечение выполнения муниципального задания муниципальным казенным учреждениям осуществляется в соответствии с показателями бюджетной сметы этого учреждения.</w:t>
      </w:r>
    </w:p>
    <w:p>
      <w:pPr>
        <w:pStyle w:val="0"/>
        <w:spacing w:before="200" w:line-rule="auto"/>
        <w:ind w:firstLine="540"/>
        <w:jc w:val="both"/>
      </w:pPr>
      <w:r>
        <w:rPr>
          <w:sz w:val="20"/>
        </w:rPr>
        <w:t xml:space="preserve">11. Финансовое обеспечение выполнения муниципального задания муниципальным бюджетным и автономным учреждениям осуществляется в виде субсидии из бюджета округа.</w:t>
      </w:r>
    </w:p>
    <w:p>
      <w:pPr>
        <w:pStyle w:val="0"/>
        <w:spacing w:before="200" w:line-rule="auto"/>
        <w:ind w:firstLine="540"/>
        <w:jc w:val="both"/>
      </w:pPr>
      <w:r>
        <w:rPr>
          <w:sz w:val="20"/>
        </w:rPr>
        <w:t xml:space="preserve">12. 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 или приобретенного муниципальным учреждением за счет средств, выделенных ему учредителем на приобретение такого имущества, в том числе земельных участков (за исключением имущества, сданного в аренду или переданного в безвозмездное пользование) (далее - имущество учреждения), а также затрат на уплату налогов, в качестве объекта налогообложения по которым признается указанное имущество учреждения.</w:t>
      </w:r>
    </w:p>
    <w:p>
      <w:pPr>
        <w:pStyle w:val="0"/>
        <w:spacing w:before="200" w:line-rule="auto"/>
        <w:ind w:firstLine="540"/>
        <w:jc w:val="both"/>
      </w:pPr>
      <w:r>
        <w:rPr>
          <w:sz w:val="20"/>
        </w:rPr>
        <w:t xml:space="preserve">13. Объем финансового обеспечения выполнения муниципального задания (R) определяется по формуле:</w:t>
      </w:r>
    </w:p>
    <w:p>
      <w:pPr>
        <w:pStyle w:val="0"/>
        <w:jc w:val="both"/>
      </w:pPr>
      <w:r>
        <w:rPr>
          <w:sz w:val="20"/>
        </w:rPr>
      </w:r>
    </w:p>
    <w:p>
      <w:pPr>
        <w:pStyle w:val="0"/>
        <w:ind w:firstLine="540"/>
        <w:jc w:val="both"/>
      </w:pPr>
      <w:r>
        <w:rPr>
          <w:position w:val="-11"/>
        </w:rPr>
        <w:drawing>
          <wp:inline distT="0" distB="0" distL="0" distR="0">
            <wp:extent cx="4181475" cy="2667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4181475" cy="2667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Ni - нормативные затраты на оказание i-й муниципальной услуги, установленной муниципальным заданием;</w:t>
      </w:r>
    </w:p>
    <w:p>
      <w:pPr>
        <w:pStyle w:val="0"/>
        <w:spacing w:before="200" w:line-rule="auto"/>
        <w:ind w:firstLine="540"/>
        <w:jc w:val="both"/>
      </w:pPr>
      <w:r>
        <w:rPr>
          <w:sz w:val="20"/>
        </w:rPr>
        <w:t xml:space="preserve">Vi - объем i-й муниципальной услуги, установленной муниципальным заданием;</w:t>
      </w:r>
    </w:p>
    <w:p>
      <w:pPr>
        <w:pStyle w:val="0"/>
        <w:spacing w:before="200" w:line-rule="auto"/>
        <w:ind w:firstLine="540"/>
        <w:jc w:val="both"/>
      </w:pPr>
      <w:r>
        <w:rPr>
          <w:sz w:val="20"/>
        </w:rPr>
        <w:t xml:space="preserve">NW - нормативные затраты на выполнение w-й работы, установленной муниципальным заданием;</w:t>
      </w:r>
    </w:p>
    <w:p>
      <w:pPr>
        <w:pStyle w:val="0"/>
        <w:spacing w:before="200" w:line-rule="auto"/>
        <w:ind w:firstLine="540"/>
        <w:jc w:val="both"/>
      </w:pPr>
      <w:r>
        <w:rPr>
          <w:sz w:val="20"/>
        </w:rPr>
        <w:t xml:space="preserve">Vw - объем w-й работы, установленной муниципальным заданием;</w:t>
      </w:r>
    </w:p>
    <w:p>
      <w:pPr>
        <w:pStyle w:val="0"/>
        <w:spacing w:before="200" w:line-rule="auto"/>
        <w:ind w:firstLine="540"/>
        <w:jc w:val="both"/>
      </w:pPr>
      <w:r>
        <w:rPr>
          <w:sz w:val="20"/>
        </w:rPr>
        <w:t xml:space="preserve">Pi - размер платы (тариф и цена) за оказание i-й муниципальной услуги в соответствии с </w:t>
      </w:r>
      <w:hyperlink w:history="0" w:anchor="P121" w:tooltip="28. 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муниципальными правовыми акт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
        <w:r>
          <w:rPr>
            <w:sz w:val="20"/>
            <w:color w:val="0000ff"/>
          </w:rPr>
          <w:t xml:space="preserve">пунктом 28</w:t>
        </w:r>
      </w:hyperlink>
      <w:r>
        <w:rPr>
          <w:sz w:val="20"/>
        </w:rPr>
        <w:t xml:space="preserve"> настоящего Порядка;</w:t>
      </w:r>
    </w:p>
    <w:p>
      <w:pPr>
        <w:pStyle w:val="0"/>
        <w:spacing w:before="200" w:line-rule="auto"/>
        <w:ind w:firstLine="540"/>
        <w:jc w:val="both"/>
      </w:pPr>
      <w:r>
        <w:rPr>
          <w:sz w:val="20"/>
        </w:rPr>
        <w:t xml:space="preserve">Pw - размер платы (тариф и цена) за выполнение w-й работы в соответствии с </w:t>
      </w:r>
      <w:hyperlink w:history="0" w:anchor="P121" w:tooltip="28. 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муниципальными правовыми акт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
        <w:r>
          <w:rPr>
            <w:sz w:val="20"/>
            <w:color w:val="0000ff"/>
          </w:rPr>
          <w:t xml:space="preserve">пунктом 28</w:t>
        </w:r>
      </w:hyperlink>
      <w:r>
        <w:rPr>
          <w:sz w:val="20"/>
        </w:rPr>
        <w:t xml:space="preserve"> настоящего Порядка, установленный муниципальным заданием;</w:t>
      </w:r>
    </w:p>
    <w:p>
      <w:pPr>
        <w:pStyle w:val="0"/>
        <w:spacing w:before="200" w:line-rule="auto"/>
        <w:ind w:firstLine="540"/>
        <w:jc w:val="both"/>
      </w:pPr>
      <w:r>
        <w:rPr>
          <w:sz w:val="20"/>
        </w:rPr>
        <w:t xml:space="preserve">Nун - затраты на уплату налогов, в качестве объекта налогообложения по которым признается имущество учреждения.</w:t>
      </w:r>
    </w:p>
    <w:p>
      <w:pPr>
        <w:pStyle w:val="0"/>
        <w:spacing w:before="200" w:line-rule="auto"/>
        <w:ind w:firstLine="540"/>
        <w:jc w:val="both"/>
      </w:pPr>
      <w:r>
        <w:rPr>
          <w:sz w:val="20"/>
        </w:rPr>
        <w:t xml:space="preserve">14. Нормативные затраты на оказание муниципальной услуги (Ni) рассчитываются на единицу показателя объема оказания услуги, установленного в муниципальном задании, на основе определяемых в соответствии с </w:t>
      </w:r>
      <w:hyperlink w:history="0" w:anchor="P1227" w:tooltip="МЕТОДИЧЕСКИЕ РЕКОМЕНДАЦИИ">
        <w:r>
          <w:rPr>
            <w:sz w:val="20"/>
            <w:color w:val="0000ff"/>
          </w:rPr>
          <w:t xml:space="preserve">приложением 3</w:t>
        </w:r>
      </w:hyperlink>
      <w:r>
        <w:rPr>
          <w:sz w:val="20"/>
        </w:rPr>
        <w:t xml:space="preserve"> к настоящему Порядку базового норматива затрат и корректирующих коэффициентов к базовым нормативам затрат (далее - корректирующие коэффициенты).</w:t>
      </w:r>
    </w:p>
    <w:p>
      <w:pPr>
        <w:pStyle w:val="0"/>
        <w:spacing w:before="200" w:line-rule="auto"/>
        <w:ind w:firstLine="540"/>
        <w:jc w:val="both"/>
      </w:pPr>
      <w:r>
        <w:rPr>
          <w:sz w:val="20"/>
        </w:rPr>
        <w:t xml:space="preserve">15. Порядок определения нормативных затрат на оказание муниципальных услуг утверждается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 с соблюдением общих требований к определению нормативных затрат на оказание государственных (муниципальных) услуг,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 (далее - общие требования), по согласованию с управлением финансов и экономики.</w:t>
      </w:r>
    </w:p>
    <w:p>
      <w:pPr>
        <w:pStyle w:val="0"/>
        <w:spacing w:before="200" w:line-rule="auto"/>
        <w:ind w:firstLine="540"/>
        <w:jc w:val="both"/>
      </w:pPr>
      <w:r>
        <w:rPr>
          <w:sz w:val="20"/>
        </w:rPr>
        <w:t xml:space="preserve">ГРБС, учредитель направляют в управление финансов и экономики порядок (внесение изменений в порядок) определения нормативных затрат на оказание муниципальных услуг на согласование в сроки, установленные планом подготовки прогноза социально-экономического развития округа и проекта решения о бюджете округа на очередной финансовый год и на плановый период.</w:t>
      </w:r>
    </w:p>
    <w:p>
      <w:pPr>
        <w:pStyle w:val="0"/>
        <w:spacing w:before="200" w:line-rule="auto"/>
        <w:ind w:firstLine="540"/>
        <w:jc w:val="both"/>
      </w:pPr>
      <w:r>
        <w:rPr>
          <w:sz w:val="20"/>
        </w:rPr>
        <w:t xml:space="preserve">16. Значения нормативных затрат на оказание муниципальной услуги утверждаются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w:t>
      </w:r>
    </w:p>
    <w:p>
      <w:pPr>
        <w:pStyle w:val="0"/>
        <w:spacing w:before="200" w:line-rule="auto"/>
        <w:ind w:firstLine="540"/>
        <w:jc w:val="both"/>
      </w:pPr>
      <w:r>
        <w:rPr>
          <w:sz w:val="20"/>
        </w:rPr>
        <w:t xml:space="preserve">17. Значения базового норматива затрат на оказание муниципальной услуги утверждаются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 общей суммой, с выделением:</w:t>
      </w:r>
    </w:p>
    <w:p>
      <w:pPr>
        <w:pStyle w:val="0"/>
        <w:spacing w:before="200" w:line-rule="auto"/>
        <w:ind w:firstLine="540"/>
        <w:jc w:val="both"/>
      </w:pPr>
      <w:r>
        <w:rPr>
          <w:sz w:val="20"/>
        </w:rPr>
        <w:t xml:space="preserve">а) суммы затрат на оплату труда с начислениями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б) суммы затрат на коммунальные услуги и содержание недвижимого имущества, необходимого для выполнения муниципального задания на оказание муниципальной услуги.</w:t>
      </w:r>
    </w:p>
    <w:p>
      <w:pPr>
        <w:pStyle w:val="0"/>
        <w:spacing w:before="200" w:line-rule="auto"/>
        <w:ind w:firstLine="540"/>
        <w:jc w:val="both"/>
      </w:pPr>
      <w:r>
        <w:rPr>
          <w:sz w:val="20"/>
        </w:rPr>
        <w:t xml:space="preserve">18. Корректирующие коэффициенты, применяемые при расчете нормативных затрат на оказание муниципальной услуги, состоят из территориального корректирующего коэффициента и отраслевого корректирующего коэффициента либо, по решению ГРБС, учредителя, из нескольких отраслевых корректирующих коэффициентов.</w:t>
      </w:r>
    </w:p>
    <w:p>
      <w:pPr>
        <w:pStyle w:val="0"/>
        <w:spacing w:before="200" w:line-rule="auto"/>
        <w:ind w:firstLine="540"/>
        <w:jc w:val="both"/>
      </w:pPr>
      <w:r>
        <w:rPr>
          <w:sz w:val="20"/>
        </w:rPr>
        <w:t xml:space="preserve">19. В территориальный корректирующий коэффициент включаются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w:t>
      </w:r>
    </w:p>
    <w:p>
      <w:pPr>
        <w:pStyle w:val="0"/>
        <w:spacing w:before="200" w:line-rule="auto"/>
        <w:ind w:firstLine="540"/>
        <w:jc w:val="both"/>
      </w:pPr>
      <w:r>
        <w:rPr>
          <w:sz w:val="20"/>
        </w:rPr>
        <w:t xml:space="preserve">Значение территориального корректирующего коэффициента утверждается ГРБС, учредителем с учетом условий, обусловленных территориальными особенностями и составом имущественного комплекса, необходимого для выполнения муниципального задания, и рассчитывается в соответствии с общими требованиями.</w:t>
      </w:r>
    </w:p>
    <w:p>
      <w:pPr>
        <w:pStyle w:val="0"/>
        <w:spacing w:before="200" w:line-rule="auto"/>
        <w:ind w:firstLine="540"/>
        <w:jc w:val="both"/>
      </w:pPr>
      <w:r>
        <w:rPr>
          <w:sz w:val="20"/>
        </w:rPr>
        <w:t xml:space="preserve">20. Отраслевой корректирующий коэффициент учитывает показатели отраслевой специфики, в том числе с учетом показателей качества муниципальной услуги, и определяется в соответствии с общими требованиями.</w:t>
      </w:r>
    </w:p>
    <w:p>
      <w:pPr>
        <w:pStyle w:val="0"/>
        <w:spacing w:before="200" w:line-rule="auto"/>
        <w:ind w:firstLine="540"/>
        <w:jc w:val="both"/>
      </w:pPr>
      <w:r>
        <w:rPr>
          <w:sz w:val="20"/>
        </w:rPr>
        <w:t xml:space="preserve">Значение отраслевого корректирующего коэффициента утверждается ГРБС, учредителем.</w:t>
      </w:r>
    </w:p>
    <w:p>
      <w:pPr>
        <w:pStyle w:val="0"/>
        <w:spacing w:before="200" w:line-rule="auto"/>
        <w:ind w:firstLine="540"/>
        <w:jc w:val="both"/>
      </w:pPr>
      <w:r>
        <w:rPr>
          <w:sz w:val="20"/>
        </w:rPr>
        <w:t xml:space="preserve">21. Значения базовых нормативов затрат на оказание муниципальных услуг и отраслевых корректирующих коэффициентов подлежат размещению в установленном порядке на официальном сайте главных распорядителей бюджетных средств информационно-телекоммуникационной сети Интернет.</w:t>
      </w:r>
    </w:p>
    <w:p>
      <w:pPr>
        <w:pStyle w:val="0"/>
        <w:jc w:val="both"/>
      </w:pPr>
      <w:r>
        <w:rPr>
          <w:sz w:val="20"/>
        </w:rPr>
        <w:t xml:space="preserve">(п. 21 в ред. </w:t>
      </w:r>
      <w:hyperlink w:history="0" r:id="rId14" w:tooltip="Постановление Администрации Кунгурского муниципального округа от 07.12.2021 N 1500-171-01-09 &quot;О внесении изменений в Порядок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 утвержденный постановлением администрации Кунгурского муниципального округа Пермского края от 21.09.2021 N 1008-171-01-09&quot; {КонсультантПлюс}">
        <w:r>
          <w:rPr>
            <w:sz w:val="20"/>
            <w:color w:val="0000ff"/>
          </w:rPr>
          <w:t xml:space="preserve">Постановления</w:t>
        </w:r>
      </w:hyperlink>
      <w:r>
        <w:rPr>
          <w:sz w:val="20"/>
        </w:rPr>
        <w:t xml:space="preserve"> Администрации Кунгурского муниципального округа от 07.12.2021 N 1500-171-01-09)</w:t>
      </w:r>
    </w:p>
    <w:p>
      <w:pPr>
        <w:pStyle w:val="0"/>
        <w:spacing w:before="200" w:line-rule="auto"/>
        <w:ind w:firstLine="540"/>
        <w:jc w:val="both"/>
      </w:pPr>
      <w:r>
        <w:rPr>
          <w:sz w:val="20"/>
        </w:rPr>
        <w:t xml:space="preserve">22. В целях доведения объема финансового обеспечения выполнения муниципального задания, рассчитанного в соответствии с настоящим Порядком, до уровня финансового обеспечения в пределах бюджетных ассигнований, предусмотренных главному распорядителю средств бюджета округа на предоставление субсидий на финансовое обеспечение выполнения муниципального задания, применяются (при необходимости) коэффициенты выравнивания.</w:t>
      </w:r>
    </w:p>
    <w:p>
      <w:pPr>
        <w:pStyle w:val="0"/>
        <w:spacing w:before="200" w:line-rule="auto"/>
        <w:ind w:firstLine="540"/>
        <w:jc w:val="both"/>
      </w:pPr>
      <w:r>
        <w:rPr>
          <w:sz w:val="20"/>
        </w:rPr>
        <w:t xml:space="preserve">Порядок определения и значение коэффициента выравнивания утверждаются правовым актом вышеуказанного главного распорядителя средств бюджета округа.</w:t>
      </w:r>
    </w:p>
    <w:p>
      <w:pPr>
        <w:pStyle w:val="0"/>
        <w:spacing w:before="200" w:line-rule="auto"/>
        <w:ind w:firstLine="540"/>
        <w:jc w:val="both"/>
      </w:pPr>
      <w:r>
        <w:rPr>
          <w:sz w:val="20"/>
        </w:rPr>
        <w:t xml:space="preserve">23. Нормативные затраты на выполнение работы (Nw) определяются при расчете объема финансового обеспечения выполнения муниципального задания в порядке, установленном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 в соответствии с </w:t>
      </w:r>
      <w:hyperlink w:history="0" w:anchor="P1249" w:tooltip="7. Нормативные затраты на выполнение работы (Nw) рассчитываются на работу в целом или в случае установления в муниципальном задании показателей объема выполнения работы - на единицу объема работы. В нормативные затраты на выполнение работы включаются в том числе:">
        <w:r>
          <w:rPr>
            <w:sz w:val="20"/>
            <w:color w:val="0000ff"/>
          </w:rPr>
          <w:t xml:space="preserve">пунктом 7</w:t>
        </w:r>
      </w:hyperlink>
      <w:r>
        <w:rPr>
          <w:sz w:val="20"/>
        </w:rPr>
        <w:t xml:space="preserve"> приложения 3 к настоящему Порядку.</w:t>
      </w:r>
    </w:p>
    <w:p>
      <w:pPr>
        <w:pStyle w:val="0"/>
        <w:spacing w:before="200" w:line-rule="auto"/>
        <w:ind w:firstLine="540"/>
        <w:jc w:val="both"/>
      </w:pPr>
      <w:r>
        <w:rPr>
          <w:sz w:val="20"/>
        </w:rPr>
        <w:t xml:space="preserve">24. ГРБС, учредитель направляют в управление финансов и экономики порядок (внесение изменений в порядок) определения нормативных затрат на выполнение работ на согласование в сроки, установленные планом подготовки прогноза социально-экономического развития округа и проекта решения о бюджете округа на очередной финансовый год и на плановый период.</w:t>
      </w:r>
    </w:p>
    <w:p>
      <w:pPr>
        <w:pStyle w:val="0"/>
        <w:spacing w:before="200" w:line-rule="auto"/>
        <w:ind w:firstLine="540"/>
        <w:jc w:val="both"/>
      </w:pPr>
      <w:r>
        <w:rPr>
          <w:sz w:val="20"/>
        </w:rPr>
        <w:t xml:space="preserve">25. Значения нормативных затрат на выполнение работы утверждаются ГРБС (в случае принятия им решения о применении нормативных затрат при расчете объема финансового обеспечения выполнения муниципального задания), учредителем.</w:t>
      </w:r>
    </w:p>
    <w:bookmarkStart w:id="117" w:name="P117"/>
    <w:bookmarkEnd w:id="117"/>
    <w:p>
      <w:pPr>
        <w:pStyle w:val="0"/>
        <w:spacing w:before="200" w:line-rule="auto"/>
        <w:ind w:firstLine="540"/>
        <w:jc w:val="both"/>
      </w:pPr>
      <w:r>
        <w:rPr>
          <w:sz w:val="20"/>
        </w:rPr>
        <w:t xml:space="preserve">26. В объем финансового обеспечения выполнения муниципального задания включаются затраты на уплату налогов (Nун), в качестве объекта налогообложения по которым признается имущество учреждения.</w:t>
      </w:r>
    </w:p>
    <w:p>
      <w:pPr>
        <w:pStyle w:val="0"/>
        <w:spacing w:before="200" w:line-rule="auto"/>
        <w:ind w:firstLine="540"/>
        <w:jc w:val="both"/>
      </w:pPr>
      <w:r>
        <w:rPr>
          <w:sz w:val="20"/>
        </w:rPr>
        <w:t xml:space="preserve">Сумма налогов определяется в соответствии с налоговым законодательством. С целью определения объема расходов на уплату налогов ГРБС, учредителям рекомендуется использовать выписки из Единого государственного реестра налогоплательщиков, сведения об исчислении суммы налога по данным налогового органа за предшествующий налоговый период по соответствующему налогу с учетом ожидаемого изменения налоговой базы в очередном финансовом году и плановом периоде.</w:t>
      </w:r>
    </w:p>
    <w:p>
      <w:pPr>
        <w:pStyle w:val="0"/>
        <w:spacing w:before="200" w:line-rule="auto"/>
        <w:ind w:firstLine="540"/>
        <w:jc w:val="both"/>
      </w:pPr>
      <w:r>
        <w:rPr>
          <w:sz w:val="20"/>
        </w:rPr>
        <w:t xml:space="preserve">27. В случае если бюджетное или автономное учреждение оказывает муниципальные услуги (выполняет работы) для физических и юридических лиц за плату (далее - платная деятельность) сверх установленного муниципального задания, затраты, указанные в </w:t>
      </w:r>
      <w:hyperlink w:history="0" w:anchor="P117" w:tooltip="26. В объем финансового обеспечения выполнения муниципального задания включаются затраты на уплату налогов (Nун), в качестве объекта налогообложения по которым признается имущество учреждения.">
        <w:r>
          <w:rPr>
            <w:sz w:val="20"/>
            <w:color w:val="0000ff"/>
          </w:rPr>
          <w:t xml:space="preserve">абзаце первом пункта 26</w:t>
        </w:r>
      </w:hyperlink>
      <w:r>
        <w:rPr>
          <w:sz w:val="20"/>
        </w:rPr>
        <w:t xml:space="preserve">, рассчитываются с применением коэффициента платной деятельности, который определяется как отношение планируемого объема субсидии к общей сумме планируемых поступлений, включающей поступления от субсидии и доходов от платной деятельности, определяемых с учетом информации об объемах указанных поступлений, полученных в отчетном финансовом году (далее - коэффициент платной деятельности).</w:t>
      </w:r>
    </w:p>
    <w:p>
      <w:pPr>
        <w:pStyle w:val="0"/>
        <w:spacing w:before="200" w:line-rule="auto"/>
        <w:ind w:firstLine="540"/>
        <w:jc w:val="both"/>
      </w:pPr>
      <w:r>
        <w:rPr>
          <w:sz w:val="20"/>
        </w:rPr>
        <w:t xml:space="preserve">При расчете коэффициента платной деятельности не учитываются поступления в виде целевых субсидий, предоставляемых из муниципального бюджета, грантов, пожертвований, прочих безвозмездных поступлений от физических и юридических лиц, а также средства, поступающие в порядке возмещения расходов, понесенных в связи с эксплуатацией муниципального имущества, переданного в аренду (безвозмездное пользование), и в виде платы, взимаемой с потребителя в рамках установленного муниципального задания.</w:t>
      </w:r>
    </w:p>
    <w:bookmarkStart w:id="121" w:name="P121"/>
    <w:bookmarkEnd w:id="121"/>
    <w:p>
      <w:pPr>
        <w:pStyle w:val="0"/>
        <w:spacing w:before="200" w:line-rule="auto"/>
        <w:ind w:firstLine="540"/>
        <w:jc w:val="both"/>
      </w:pPr>
      <w:r>
        <w:rPr>
          <w:sz w:val="20"/>
        </w:rPr>
        <w:t xml:space="preserve">28. 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муниципальными правовыми актами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среднего значения размера платы (цены, тарифа), установленного в муниципальном задании, учредителем с учетом положений, установленных муниципальными правовыми актами.</w:t>
      </w:r>
    </w:p>
    <w:p>
      <w:pPr>
        <w:pStyle w:val="0"/>
        <w:spacing w:before="200" w:line-rule="auto"/>
        <w:ind w:firstLine="540"/>
        <w:jc w:val="both"/>
      </w:pPr>
      <w:r>
        <w:rPr>
          <w:sz w:val="20"/>
        </w:rPr>
        <w:t xml:space="preserve">29. В случае сдачи в аренду с согласия учредителя недвижимого имущества и особо ценного движимого имущества, закрепленного за бюджетным или автономным учреждением учредителем или приобретенного бюджетным или автономным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pPr>
        <w:pStyle w:val="0"/>
        <w:spacing w:before="200" w:line-rule="auto"/>
        <w:ind w:firstLine="540"/>
        <w:jc w:val="both"/>
      </w:pPr>
      <w:r>
        <w:rPr>
          <w:sz w:val="20"/>
        </w:rPr>
        <w:t xml:space="preserve">30. Субсидия муниципальному бюджетному и (или) автономному учреждению в течение финансового года предоставляется на основании соглашения о порядке и условиях предоставления субсидии на финансовое обеспечение выполнения муниципального задания (далее - соглашение), заключаемого между учредителем и муниципальным бюджетным или автономным учреждением.</w:t>
      </w:r>
    </w:p>
    <w:p>
      <w:pPr>
        <w:pStyle w:val="0"/>
        <w:spacing w:before="200" w:line-rule="auto"/>
        <w:ind w:firstLine="540"/>
        <w:jc w:val="both"/>
      </w:pPr>
      <w:r>
        <w:rPr>
          <w:sz w:val="20"/>
        </w:rPr>
        <w:t xml:space="preserve">Форма соглашения утверждается учредителем.</w:t>
      </w:r>
    </w:p>
    <w:p>
      <w:pPr>
        <w:pStyle w:val="0"/>
        <w:spacing w:before="200" w:line-rule="auto"/>
        <w:ind w:firstLine="540"/>
        <w:jc w:val="both"/>
      </w:pPr>
      <w:r>
        <w:rPr>
          <w:sz w:val="20"/>
        </w:rPr>
        <w:t xml:space="preserve">Соглашение определяет права, обязанности и ответственность сторон, в том числе объем и периодичность перечисления субсидии в течение финансового года. Соглашение заключается сторонами не позднее 15 рабочих дней со дня утверждения муниципального задания.</w:t>
      </w:r>
    </w:p>
    <w:p>
      <w:pPr>
        <w:pStyle w:val="0"/>
        <w:spacing w:before="200" w:line-rule="auto"/>
        <w:ind w:firstLine="540"/>
        <w:jc w:val="both"/>
      </w:pPr>
      <w:r>
        <w:rPr>
          <w:sz w:val="20"/>
        </w:rPr>
        <w:t xml:space="preserve">Соглашение заключается на очередной финансовый год и плановый период.</w:t>
      </w:r>
    </w:p>
    <w:p>
      <w:pPr>
        <w:pStyle w:val="0"/>
        <w:spacing w:before="200" w:line-rule="auto"/>
        <w:ind w:firstLine="540"/>
        <w:jc w:val="both"/>
      </w:pPr>
      <w:r>
        <w:rPr>
          <w:sz w:val="20"/>
        </w:rPr>
        <w:t xml:space="preserve">31. Перечисление субсидии на финансовое обеспечение выполнения муниципального задания осуществляется учредителем ежемесячно в объемах и сроки в соответствии с графиком перечисления субсидии, установленным соглашением, на соответствующие лицевые счета муниципальных бюджетных и автономных учреждений.</w:t>
      </w:r>
    </w:p>
    <w:p>
      <w:pPr>
        <w:pStyle w:val="0"/>
        <w:spacing w:before="200" w:line-rule="auto"/>
        <w:ind w:firstLine="540"/>
        <w:jc w:val="both"/>
      </w:pPr>
      <w:r>
        <w:rPr>
          <w:sz w:val="20"/>
        </w:rPr>
        <w:t xml:space="preserve">В случае невыполнения и (или) нарушения условий, установленных соглашением, перечисление субсидий по решению учредителя приостанавливается до устранения нарушений.</w:t>
      </w:r>
    </w:p>
    <w:p>
      <w:pPr>
        <w:pStyle w:val="0"/>
        <w:spacing w:before="200" w:line-rule="auto"/>
        <w:ind w:firstLine="540"/>
        <w:jc w:val="both"/>
      </w:pPr>
      <w:r>
        <w:rPr>
          <w:sz w:val="20"/>
        </w:rPr>
        <w:t xml:space="preserve">Перечисление платежа, завершающего выплату субсидии, в IV квартале должно осуществляться после предоставления в срок, установленный в муниципальном задании, муниципальным бюджетным или автономным учреждением предварительного отчета о выполнении муниципального задания в части предварительной оценки достижения плановых показателей годового объема оказания муниципальных услуг (работ) за соответствующий финансовый год, составленного по форме, аналогичной форме </w:t>
      </w:r>
      <w:hyperlink w:history="0" w:anchor="P782" w:tooltip="ОТЧЕТ О ВЫПОЛНЕНИИ">
        <w:r>
          <w:rPr>
            <w:sz w:val="20"/>
            <w:color w:val="0000ff"/>
          </w:rPr>
          <w:t xml:space="preserve">отчета</w:t>
        </w:r>
      </w:hyperlink>
      <w:r>
        <w:rPr>
          <w:sz w:val="20"/>
        </w:rPr>
        <w:t xml:space="preserve"> о выполнении муниципального задания, предусмотренной приложением 2 к настоящему Порядку. В предварительном отчете указываются показатели по объему и качеству, запланированные к исполнению по завершении текущего финансового года (с учетом фактического выполнения указанных показателей на отчетную дату). В случае если показатели предварительной оценки достижения плановых показателей годового объема оказания муниципальных услуг, указанные в предварительном отчете, меньше показателей, установленных в муниципальном задании (с учетом допустимых (возможных) отклонений), то муниципальное задание подлежит уточнению в соответствии с указанными в предварительном отчете показателями.</w:t>
      </w:r>
    </w:p>
    <w:p>
      <w:pPr>
        <w:pStyle w:val="0"/>
        <w:spacing w:before="200" w:line-rule="auto"/>
        <w:ind w:firstLine="540"/>
        <w:jc w:val="both"/>
      </w:pPr>
      <w:r>
        <w:rPr>
          <w:sz w:val="20"/>
        </w:rPr>
        <w:t xml:space="preserve">32. При досрочном прекращении выполнения муниципального задания по установленным в нем основаниям неиспользованные остатки субсидии в размере, соответствующем показателям, характеризующим объем неоказанных муниципальных услуг (невыполненных работ), подлежат перечислению в установленном порядке муниципальными бюджетными или автономными учреждениями в бюджет округа и учитываются в порядке, установленном для учета сумм возврата дебиторской задолженности.</w:t>
      </w:r>
    </w:p>
    <w:p>
      <w:pPr>
        <w:pStyle w:val="0"/>
        <w:spacing w:before="200" w:line-rule="auto"/>
        <w:ind w:firstLine="540"/>
        <w:jc w:val="both"/>
      </w:pPr>
      <w:r>
        <w:rPr>
          <w:sz w:val="20"/>
        </w:rPr>
        <w:t xml:space="preserve">При досрочном прекращении выполнения муниципального задания в связи с реорганизацией муниципального бюджетного или автономного учреждения неиспользованные остатки субсидии подлежат перечислению соответствующим муниципальным бюджетным и автономным учреждениям, являющимся правопреемниками.</w:t>
      </w:r>
    </w:p>
    <w:p>
      <w:pPr>
        <w:pStyle w:val="0"/>
        <w:spacing w:before="200" w:line-rule="auto"/>
        <w:ind w:firstLine="540"/>
        <w:jc w:val="both"/>
      </w:pPr>
      <w:r>
        <w:rPr>
          <w:sz w:val="20"/>
        </w:rPr>
        <w:t xml:space="preserve">При изменении в течение текущего финансового года типа муниципального бюджетного или автономного учреждения на казенное неиспользованные остатки субсидии подлежат возврату учредителю.</w:t>
      </w:r>
    </w:p>
    <w:p>
      <w:pPr>
        <w:pStyle w:val="0"/>
        <w:spacing w:before="200" w:line-rule="auto"/>
        <w:ind w:firstLine="540"/>
        <w:jc w:val="both"/>
      </w:pPr>
      <w:r>
        <w:rPr>
          <w:sz w:val="20"/>
        </w:rPr>
        <w:t xml:space="preserve">33. При внесении изменений в показатели муниципального задания при реорганизации муниципального бюджетного или автономного учреждения (в случаях, предусмотренных </w:t>
      </w:r>
      <w:hyperlink w:history="0" w:anchor="P67" w:tooltip="При изменении подведомственности муниципального учреждения в муниципальном задании подлежит изменению информация, включенная в 3-ю часть муниципального задания, в том числе в части уточнения положений о периодичности и сроках представления отчетов о выполнении муниципального задания, сроков представления предварительного отчета о выполнении муниципального задания, а также порядка осуществления контроля за выполнением муниципального задания.">
        <w:r>
          <w:rPr>
            <w:sz w:val="20"/>
            <w:color w:val="0000ff"/>
          </w:rPr>
          <w:t xml:space="preserve">абзацами пятым</w:t>
        </w:r>
      </w:hyperlink>
      <w:r>
        <w:rPr>
          <w:sz w:val="20"/>
        </w:rPr>
        <w:t xml:space="preserve">-</w:t>
      </w:r>
      <w:hyperlink w:history="0" w:anchor="P70" w:tooltip="При реорганизации муниципального учреждения в форме выделения показатели муниципального задания муниципального учреждения, реорганизованного путем выделения из него других муниципальных учреждений, подлежат уменьшению на показатели муниципальных заданий вновь возникших юридических лиц.">
        <w:r>
          <w:rPr>
            <w:sz w:val="20"/>
            <w:color w:val="0000ff"/>
          </w:rPr>
          <w:t xml:space="preserve">восьмым пункта 5</w:t>
        </w:r>
      </w:hyperlink>
      <w:r>
        <w:rPr>
          <w:sz w:val="20"/>
        </w:rPr>
        <w:t xml:space="preserve"> настоящего Порядка):</w:t>
      </w:r>
    </w:p>
    <w:p>
      <w:pPr>
        <w:pStyle w:val="0"/>
        <w:spacing w:before="200" w:line-rule="auto"/>
        <w:ind w:firstLine="540"/>
        <w:jc w:val="both"/>
      </w:pPr>
      <w:r>
        <w:rPr>
          <w:sz w:val="20"/>
        </w:rPr>
        <w:t xml:space="preserve">в форме присоединения или слияния - объем субсидии, предоставляемой муниципальному бюджетному или автономному учреждению - правопреемнику, устанавливается с учетом объемов субсидий, предоставленных реорганизованным учреждениям, прекращающим свою деятельность, путем их суммирования;</w:t>
      </w:r>
    </w:p>
    <w:p>
      <w:pPr>
        <w:pStyle w:val="0"/>
        <w:spacing w:before="200" w:line-rule="auto"/>
        <w:ind w:firstLine="540"/>
        <w:jc w:val="both"/>
      </w:pPr>
      <w:r>
        <w:rPr>
          <w:sz w:val="20"/>
        </w:rPr>
        <w:t xml:space="preserve">в форме выделения - объем субсидии, предоставляемой муниципальному бюджетному или автономному учреждению, реорганизованному путем выделения из него других учреждений, подлежит уменьшению на объем субсидий, предоставляемых вновь возникшим юридическим лицам;</w:t>
      </w:r>
    </w:p>
    <w:p>
      <w:pPr>
        <w:pStyle w:val="0"/>
        <w:spacing w:before="200" w:line-rule="auto"/>
        <w:ind w:firstLine="540"/>
        <w:jc w:val="both"/>
      </w:pPr>
      <w:r>
        <w:rPr>
          <w:sz w:val="20"/>
        </w:rPr>
        <w:t xml:space="preserve">в форме разделения - объем субсидии, предоставляемой вновь возникшим юридическим лицам, формируется путем разделения объема субсидии, предоставленной муниципальному бюджетному или автономному учреждению, прекращающему свою деятельность в результате реорганизации.</w:t>
      </w:r>
    </w:p>
    <w:p>
      <w:pPr>
        <w:pStyle w:val="0"/>
        <w:spacing w:before="200" w:line-rule="auto"/>
        <w:ind w:firstLine="540"/>
        <w:jc w:val="both"/>
      </w:pPr>
      <w:r>
        <w:rPr>
          <w:sz w:val="20"/>
        </w:rPr>
        <w:t xml:space="preserve">Объем субсидий, предоставленных учреждениям, прекращающим свою деятельность в результате реорганизации, принимает нулевое значение.</w:t>
      </w:r>
    </w:p>
    <w:p>
      <w:pPr>
        <w:pStyle w:val="0"/>
        <w:spacing w:before="200" w:line-rule="auto"/>
        <w:ind w:firstLine="540"/>
        <w:jc w:val="both"/>
      </w:pPr>
      <w:r>
        <w:rPr>
          <w:sz w:val="20"/>
        </w:rPr>
        <w:t xml:space="preserve">После завершения реорганизации объем субсидий, предоставляемых реорганизованным муниципальным бюджетным или автономным учреждениям, за исключением муниципальных бюджетных или автономных учреждений, прекращающих свою деятельность в результате реорганизации, должен соответствовать объему субсидии, предоставленной муниципальному бюджетному или автономному учреждению до начала реорганизации.</w:t>
      </w:r>
    </w:p>
    <w:p>
      <w:pPr>
        <w:pStyle w:val="0"/>
        <w:spacing w:before="200" w:line-rule="auto"/>
        <w:ind w:firstLine="540"/>
        <w:jc w:val="both"/>
      </w:pPr>
      <w:r>
        <w:rPr>
          <w:sz w:val="20"/>
        </w:rPr>
        <w:t xml:space="preserve">34. Не использованные в текущем финансовом году остатки субсидии, предоставленной муниципальному бюджетному или автономному учреждению, при условии выполнения муниципального задания, установленного учредителем, не подлежат сокращению (взысканию) и используются в очередном финансовом году для достижения целей, ради которых эти учреждения созданы.</w:t>
      </w:r>
    </w:p>
    <w:p>
      <w:pPr>
        <w:pStyle w:val="0"/>
        <w:jc w:val="both"/>
      </w:pPr>
      <w:r>
        <w:rPr>
          <w:sz w:val="20"/>
        </w:rPr>
      </w:r>
    </w:p>
    <w:p>
      <w:pPr>
        <w:pStyle w:val="2"/>
        <w:outlineLvl w:val="1"/>
        <w:jc w:val="center"/>
      </w:pPr>
      <w:r>
        <w:rPr>
          <w:sz w:val="20"/>
        </w:rPr>
        <w:t xml:space="preserve">IV. Внесение изменений в муниципальное задание и объем</w:t>
      </w:r>
    </w:p>
    <w:p>
      <w:pPr>
        <w:pStyle w:val="2"/>
        <w:jc w:val="center"/>
      </w:pPr>
      <w:r>
        <w:rPr>
          <w:sz w:val="20"/>
        </w:rPr>
        <w:t xml:space="preserve">его финансового обеспечения</w:t>
      </w:r>
    </w:p>
    <w:p>
      <w:pPr>
        <w:pStyle w:val="0"/>
        <w:jc w:val="both"/>
      </w:pPr>
      <w:r>
        <w:rPr>
          <w:sz w:val="20"/>
        </w:rPr>
      </w:r>
    </w:p>
    <w:p>
      <w:pPr>
        <w:pStyle w:val="0"/>
        <w:ind w:firstLine="540"/>
        <w:jc w:val="both"/>
      </w:pPr>
      <w:r>
        <w:rPr>
          <w:sz w:val="20"/>
        </w:rPr>
        <w:t xml:space="preserve">35. Муниципальные казенные, бюджетные и автономные учреждения представляют соответственно ГРБС, учредителю </w:t>
      </w:r>
      <w:hyperlink w:history="0" w:anchor="P782" w:tooltip="ОТЧЕТ О ВЫПОЛНЕНИИ">
        <w:r>
          <w:rPr>
            <w:sz w:val="20"/>
            <w:color w:val="0000ff"/>
          </w:rPr>
          <w:t xml:space="preserve">отчет</w:t>
        </w:r>
      </w:hyperlink>
      <w:r>
        <w:rPr>
          <w:sz w:val="20"/>
        </w:rPr>
        <w:t xml:space="preserve"> о выполнении муниципального задания, предусмотренный приложением 2 к настоящему Порядку, в соответствии с требованиями, установленными в муниципальном задании.</w:t>
      </w:r>
    </w:p>
    <w:p>
      <w:pPr>
        <w:pStyle w:val="0"/>
        <w:spacing w:before="200" w:line-rule="auto"/>
        <w:ind w:firstLine="540"/>
        <w:jc w:val="both"/>
      </w:pPr>
      <w:r>
        <w:rPr>
          <w:sz w:val="20"/>
        </w:rPr>
        <w:t xml:space="preserve">По решению ГРБС, учредителя устанавливаются иные дополнительные формы отчетности.</w:t>
      </w:r>
    </w:p>
    <w:p>
      <w:pPr>
        <w:pStyle w:val="0"/>
        <w:spacing w:before="200" w:line-rule="auto"/>
        <w:ind w:firstLine="540"/>
        <w:jc w:val="both"/>
      </w:pPr>
      <w:r>
        <w:rPr>
          <w:sz w:val="20"/>
        </w:rPr>
        <w:t xml:space="preserve">Указанный отчет представляется в сроки, установленные муниципальным заданием, но не позднее 15 числа месяца, следующего за отчетным периодом.</w:t>
      </w:r>
    </w:p>
    <w:p>
      <w:pPr>
        <w:pStyle w:val="0"/>
        <w:spacing w:before="200" w:line-rule="auto"/>
        <w:ind w:firstLine="540"/>
        <w:jc w:val="both"/>
      </w:pPr>
      <w:r>
        <w:rPr>
          <w:sz w:val="20"/>
        </w:rPr>
        <w:t xml:space="preserve">Отчетными периодами являются первый квартал, первое полугодие, девять месяцев, год.</w:t>
      </w:r>
    </w:p>
    <w:p>
      <w:pPr>
        <w:pStyle w:val="0"/>
        <w:spacing w:before="200" w:line-rule="auto"/>
        <w:ind w:firstLine="540"/>
        <w:jc w:val="both"/>
      </w:pPr>
      <w:r>
        <w:rPr>
          <w:sz w:val="20"/>
        </w:rPr>
        <w:t xml:space="preserve">36. По результатам анализа представленных отчетов ГРБС, учредитель соответственно в отношении муниципальных казенных, автономных и бюджетных учреждений принимают решение о необходимости внесения изменений в муниципальное задание.</w:t>
      </w:r>
    </w:p>
    <w:p>
      <w:pPr>
        <w:pStyle w:val="0"/>
        <w:spacing w:before="200" w:line-rule="auto"/>
        <w:ind w:firstLine="540"/>
        <w:jc w:val="both"/>
      </w:pPr>
      <w:r>
        <w:rPr>
          <w:sz w:val="20"/>
        </w:rPr>
        <w:t xml:space="preserve">37. В случае внесения изменений в показатели муниципального задания, в нормативные правовые акты, на основании которых было сформировано муниципальное задание, а также изменения размера бюджетных ассигнований, предусмотренных в бюджете округа для финансового обеспечения выполнения муниципального задания, влекущих за собой изменение муниципального задания, утверждается новое муниципальное задание.</w:t>
      </w:r>
    </w:p>
    <w:p>
      <w:pPr>
        <w:pStyle w:val="0"/>
        <w:spacing w:before="200" w:line-rule="auto"/>
        <w:ind w:firstLine="540"/>
        <w:jc w:val="both"/>
      </w:pPr>
      <w:r>
        <w:rPr>
          <w:sz w:val="20"/>
        </w:rPr>
        <w:t xml:space="preserve">Утверждение ГРБС, учредителем нового муниципального задания в случае изменения размера бюджетных ассигнований, предусмотренных в бюджете округа для финансового обеспечения выполнения муниципального задания, влекущих за собой его изменение, осуществляется в течение 10 рабочих дней с даты вступления в силу решения Думы Кунгурского муниципального округа о внесении изменений в решение о бюджете округа на очередной финансовый год и на плановый период.</w:t>
      </w:r>
    </w:p>
    <w:p>
      <w:pPr>
        <w:pStyle w:val="0"/>
        <w:spacing w:before="200" w:line-rule="auto"/>
        <w:ind w:firstLine="540"/>
        <w:jc w:val="both"/>
      </w:pPr>
      <w:r>
        <w:rPr>
          <w:sz w:val="20"/>
        </w:rPr>
        <w:t xml:space="preserve">Изменение объема субсидии, предоставленной из бюджета округа на финансовое обеспечение выполнения муниципального задания муниципальному бюджетному или автономному учреждению, изменение объема бюджетной сметы казенного учреждения на выполнение муниципального задания в течение срока его выполнения осуществляется при соответствующем изменении муниципального задания и (или) изменении нормативных затрат на оказание муниципальной услуги (выполнение работы) в случаях, предусмотренных нормативными правовыми актами Российской Федерации, Пермского края, Кунгурского муниципального округа Пермского края.</w:t>
      </w:r>
    </w:p>
    <w:p>
      <w:pPr>
        <w:pStyle w:val="0"/>
        <w:spacing w:before="200" w:line-rule="auto"/>
        <w:ind w:firstLine="540"/>
        <w:jc w:val="both"/>
      </w:pPr>
      <w:r>
        <w:rPr>
          <w:sz w:val="20"/>
        </w:rPr>
        <w:t xml:space="preserve">Уменьшение и (или) увеличение размера нормативных затрат на оказание муниципальной услуги (выполнение работы) в течение срока выполнения муниципального задания не допускается, за исключением случаев изменений сценарных условий для формирования вариантов развития и основных показателей прогноза социально-экономического развития округа, внесения изменений в нормативные правовые акты Российской Федерации, Пермского края, Кунгурского муниципального округа, приводящих к изменению объема финансового обеспечения выполнения муниципального задания.</w:t>
      </w:r>
    </w:p>
    <w:p>
      <w:pPr>
        <w:pStyle w:val="0"/>
        <w:spacing w:before="200" w:line-rule="auto"/>
        <w:ind w:firstLine="540"/>
        <w:jc w:val="both"/>
      </w:pPr>
      <w:r>
        <w:rPr>
          <w:sz w:val="20"/>
        </w:rPr>
        <w:t xml:space="preserve">Объем субсидии может быть изменен в течение срока выполнения муниципального задания в случае изменения состава и стоимости имущества учреждения, признаваемого в качестве объекта налогообложения налогом на имущество организации и земельным налогом, изменения законодательства Российской Федерации о налогах и сборах, в том числе в случае отмены ранее установленных налоговых льгот, введения налоговых льгот, а также в целях достижения показателей уровня заработной платы отдельных категорий работников, установленных </w:t>
      </w:r>
      <w:hyperlink w:history="0" r:id="rId15"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07.05.2012 N 597 "О мероприятиях по реализации государственной социальной политики".</w:t>
      </w:r>
    </w:p>
    <w:p>
      <w:pPr>
        <w:pStyle w:val="0"/>
        <w:spacing w:before="200" w:line-rule="auto"/>
        <w:ind w:firstLine="540"/>
        <w:jc w:val="both"/>
      </w:pPr>
      <w:r>
        <w:rPr>
          <w:sz w:val="20"/>
        </w:rPr>
        <w:t xml:space="preserve">38. ГРБС, учредитель вносят изменения в муниципальное задание и объем его финансового обеспечения в течение финансового года, если указанные изменения не приводят к увеличению объема бюджетных ассигнований, предусмотренных ГРБС, учредителю в бюджете округа на соответствующий финансовый год и плановый период на выполнение муниципального задания.</w:t>
      </w:r>
    </w:p>
    <w:p>
      <w:pPr>
        <w:pStyle w:val="0"/>
        <w:spacing w:before="200" w:line-rule="auto"/>
        <w:ind w:firstLine="540"/>
        <w:jc w:val="both"/>
      </w:pPr>
      <w:r>
        <w:rPr>
          <w:sz w:val="20"/>
        </w:rPr>
        <w:t xml:space="preserve">39. В течение финансового года ГРБС, учредитель вносят изменения в муниципальное задание, сокращают объем субсидии и (или) выставляют требования частичного или полного возврата предоставленной муниципальному учреждению субсидии в случае:</w:t>
      </w:r>
    </w:p>
    <w:p>
      <w:pPr>
        <w:pStyle w:val="0"/>
        <w:spacing w:before="200" w:line-rule="auto"/>
        <w:ind w:firstLine="540"/>
        <w:jc w:val="both"/>
      </w:pPr>
      <w:r>
        <w:rPr>
          <w:sz w:val="20"/>
        </w:rPr>
        <w:t xml:space="preserve">фактического исполнения муниципального задания муниципальным учреждением в меньшем объеме, чем это установлено муниципальным заданием и (или) соглашением в соответствующем финансовом году;</w:t>
      </w:r>
    </w:p>
    <w:p>
      <w:pPr>
        <w:pStyle w:val="0"/>
        <w:spacing w:before="200" w:line-rule="auto"/>
        <w:ind w:firstLine="540"/>
        <w:jc w:val="both"/>
      </w:pPr>
      <w:r>
        <w:rPr>
          <w:sz w:val="20"/>
        </w:rPr>
        <w:t xml:space="preserve">несоответствия фактического значения показателей качества показателям, установленным муниципальным заданием;</w:t>
      </w:r>
    </w:p>
    <w:p>
      <w:pPr>
        <w:pStyle w:val="0"/>
        <w:spacing w:before="200" w:line-rule="auto"/>
        <w:ind w:firstLine="540"/>
        <w:jc w:val="both"/>
      </w:pPr>
      <w:r>
        <w:rPr>
          <w:sz w:val="20"/>
        </w:rPr>
        <w:t xml:space="preserve">установления факта нецелевого использования бюджетных средств.</w:t>
      </w:r>
    </w:p>
    <w:p>
      <w:pPr>
        <w:pStyle w:val="0"/>
        <w:spacing w:before="200" w:line-rule="auto"/>
        <w:ind w:firstLine="540"/>
        <w:jc w:val="both"/>
      </w:pPr>
      <w:r>
        <w:rPr>
          <w:sz w:val="20"/>
        </w:rPr>
        <w:t xml:space="preserve">Требование о возврате бюджетных средств в бюджет округа должно быть удовлетворено муниципальным учреждением в течение 10 календарных дней с момента получения указанного требования.</w:t>
      </w:r>
    </w:p>
    <w:p>
      <w:pPr>
        <w:pStyle w:val="0"/>
        <w:spacing w:before="200" w:line-rule="auto"/>
        <w:ind w:firstLine="540"/>
        <w:jc w:val="both"/>
      </w:pPr>
      <w:r>
        <w:rPr>
          <w:sz w:val="20"/>
        </w:rPr>
        <w:t xml:space="preserve">В случае невыполнения муниципальным учреждением в установленный срок требования о возврате бюджетных средств в бюджет округа учредитель обеспечивает взыскание бюджетных средств в соответствии с действующим законодательством.</w:t>
      </w:r>
    </w:p>
    <w:p>
      <w:pPr>
        <w:pStyle w:val="0"/>
        <w:spacing w:before="200" w:line-rule="auto"/>
        <w:ind w:firstLine="540"/>
        <w:jc w:val="both"/>
      </w:pPr>
      <w:r>
        <w:rPr>
          <w:sz w:val="20"/>
        </w:rPr>
        <w:t xml:space="preserve">40. На основании принятого решения ГРБС, учредителя о внесении изменений в муниципальное задание в течение 5 рабочих дней утверждается измененное муниципальное задание, вносятся изменения в соглашение о порядке и условиях предоставления субсидии на финансовое обеспечение выполнения муниципального задания.</w:t>
      </w:r>
    </w:p>
    <w:p>
      <w:pPr>
        <w:pStyle w:val="0"/>
        <w:spacing w:before="200" w:line-rule="auto"/>
        <w:ind w:firstLine="540"/>
        <w:jc w:val="both"/>
      </w:pPr>
      <w:r>
        <w:rPr>
          <w:sz w:val="20"/>
        </w:rPr>
        <w:t xml:space="preserve">О внесении изменений в муниципальное задание и (или) объем финансового обеспечения муниципального задания ГРБС, учредитель уведомляет муниципальное учреждение в течение 5 рабочих дней со дня принятия решения об изменении муниципального задания и (или) объема финансового обеспечения муниципального задания, но не позднее чем за 45 календарных дней до окончания финансового года.</w:t>
      </w:r>
    </w:p>
    <w:p>
      <w:pPr>
        <w:pStyle w:val="0"/>
        <w:spacing w:before="200" w:line-rule="auto"/>
        <w:ind w:firstLine="540"/>
        <w:jc w:val="both"/>
      </w:pPr>
      <w:r>
        <w:rPr>
          <w:sz w:val="20"/>
        </w:rPr>
        <w:t xml:space="preserve">41. Объем финансового обеспечения муниципального задания на очередной финансовый год определяется с учетом выполнения муниципального задания в отчетном и текущем финансовом году.</w:t>
      </w:r>
    </w:p>
    <w:p>
      <w:pPr>
        <w:pStyle w:val="0"/>
        <w:spacing w:before="200" w:line-rule="auto"/>
        <w:ind w:firstLine="540"/>
        <w:jc w:val="both"/>
      </w:pPr>
      <w:r>
        <w:rPr>
          <w:sz w:val="20"/>
        </w:rPr>
        <w:t xml:space="preserve">42. Предложения по внесению изменений в сводную бюджетную роспись направляются ГРБС, учредителем в управление финансов и экономики в соответствии с порядком составления и ведения сводной бюджетной росписи, утвержденным управлением финансов и экономики.</w:t>
      </w:r>
    </w:p>
    <w:p>
      <w:pPr>
        <w:pStyle w:val="0"/>
        <w:spacing w:before="200" w:line-rule="auto"/>
        <w:ind w:firstLine="540"/>
        <w:jc w:val="both"/>
      </w:pPr>
      <w:r>
        <w:rPr>
          <w:sz w:val="20"/>
        </w:rPr>
        <w:t xml:space="preserve">При невыполнении муниципального задания по итогам финансового года средства субсидии возвращаются муниципальным бюджетным и (или) автономным учреждением в бюджет округа в сумме пропорционально объему невыполненного муниципального задания. Возврат осуществляется муниципальным бюджетным и (или) автономным учреждением в течение 10 календарных дней с момента получения требования о возврате бюджетных средств в бюджет округа, но не позднее 1 марта года, следующего за отчетным финансовым годом.</w:t>
      </w:r>
    </w:p>
    <w:p>
      <w:pPr>
        <w:pStyle w:val="0"/>
        <w:spacing w:before="200" w:line-rule="auto"/>
        <w:ind w:firstLine="540"/>
        <w:jc w:val="both"/>
      </w:pPr>
      <w:r>
        <w:rPr>
          <w:sz w:val="20"/>
        </w:rPr>
        <w:t xml:space="preserve">43. В случае утверждения нового муниципального задания и (или) внесения изменений в муниципальное задание, которое было ранее размещено на официальном сайте Российской Федерации для размещения информации о государственных (муниципальных) учреждениях в информационно-телекоммуникационной сети "Интернет" по адресу: </w:t>
      </w:r>
      <w:r>
        <w:rPr>
          <w:sz w:val="20"/>
        </w:rPr>
        <w:t xml:space="preserve">www.bus.gov.ru</w:t>
      </w:r>
      <w:r>
        <w:rPr>
          <w:sz w:val="20"/>
        </w:rPr>
        <w:t xml:space="preserve">, муниципальное учреждение не позднее 5 рабочих дней, следующих за днем принятия документов, представляет через указанный официальный сайт уточненную структурированную информацию о муниципальном учреждении с приложением соответствующих электронных копий документов.</w:t>
      </w:r>
    </w:p>
    <w:p>
      <w:pPr>
        <w:pStyle w:val="0"/>
        <w:jc w:val="both"/>
      </w:pPr>
      <w:r>
        <w:rPr>
          <w:sz w:val="20"/>
        </w:rPr>
      </w:r>
    </w:p>
    <w:p>
      <w:pPr>
        <w:pStyle w:val="2"/>
        <w:outlineLvl w:val="1"/>
        <w:jc w:val="center"/>
      </w:pPr>
      <w:r>
        <w:rPr>
          <w:sz w:val="20"/>
        </w:rPr>
        <w:t xml:space="preserve">V. Правила осуществления контроля за выполнением</w:t>
      </w:r>
    </w:p>
    <w:p>
      <w:pPr>
        <w:pStyle w:val="2"/>
        <w:jc w:val="center"/>
      </w:pPr>
      <w:r>
        <w:rPr>
          <w:sz w:val="20"/>
        </w:rPr>
        <w:t xml:space="preserve">муниципального задания муниципальными учреждениями</w:t>
      </w:r>
    </w:p>
    <w:p>
      <w:pPr>
        <w:pStyle w:val="0"/>
        <w:jc w:val="both"/>
      </w:pPr>
      <w:r>
        <w:rPr>
          <w:sz w:val="20"/>
        </w:rPr>
      </w:r>
    </w:p>
    <w:p>
      <w:pPr>
        <w:pStyle w:val="0"/>
        <w:ind w:firstLine="540"/>
        <w:jc w:val="both"/>
      </w:pPr>
      <w:r>
        <w:rPr>
          <w:sz w:val="20"/>
        </w:rPr>
        <w:t xml:space="preserve">44. Контроль за выполнением муниципального задания муниципальным учреждением осуществляет ГРБС, учредитель.</w:t>
      </w:r>
    </w:p>
    <w:p>
      <w:pPr>
        <w:pStyle w:val="0"/>
        <w:spacing w:before="200" w:line-rule="auto"/>
        <w:ind w:firstLine="540"/>
        <w:jc w:val="both"/>
      </w:pPr>
      <w:r>
        <w:rPr>
          <w:sz w:val="20"/>
        </w:rPr>
        <w:t xml:space="preserve">Правила осуществления контроля ГРБС, учредителем за выполнением муниципального задания устанавливаются указанными органами и должны предусматривать в том числе:</w:t>
      </w:r>
    </w:p>
    <w:p>
      <w:pPr>
        <w:pStyle w:val="0"/>
        <w:spacing w:before="200" w:line-rule="auto"/>
        <w:ind w:firstLine="540"/>
        <w:jc w:val="both"/>
      </w:pPr>
      <w:r>
        <w:rPr>
          <w:sz w:val="20"/>
        </w:rPr>
        <w:t xml:space="preserve">документы, применяемые муниципальным учреждением в целях подтверждения информации о потребителях оказываемых муниципальных услуг (выполняемых работ) и выполнения содержащихся в муниципальном задании показателей объема оказываемых услуг (выполняемых работ), а также формы указанных документов;</w:t>
      </w:r>
    </w:p>
    <w:p>
      <w:pPr>
        <w:pStyle w:val="0"/>
        <w:spacing w:before="200" w:line-rule="auto"/>
        <w:ind w:firstLine="540"/>
        <w:jc w:val="both"/>
      </w:pPr>
      <w:r>
        <w:rPr>
          <w:sz w:val="20"/>
        </w:rPr>
        <w:t xml:space="preserve">формы аналитической отчетности, подтверждающие оказание услуг (выполнение работ) и периодичность ее формирования.</w:t>
      </w:r>
    </w:p>
    <w:p>
      <w:pPr>
        <w:pStyle w:val="0"/>
        <w:spacing w:before="200" w:line-rule="auto"/>
        <w:ind w:firstLine="540"/>
        <w:jc w:val="both"/>
      </w:pPr>
      <w:r>
        <w:rPr>
          <w:sz w:val="20"/>
        </w:rPr>
        <w:t xml:space="preserve">45. По результатам проведенного контроля за выполнением учреждением муниципального задания в произвольной форме составляется аналитическая записка, которая должна содержать:</w:t>
      </w:r>
    </w:p>
    <w:p>
      <w:pPr>
        <w:pStyle w:val="0"/>
        <w:spacing w:before="200" w:line-rule="auto"/>
        <w:ind w:firstLine="540"/>
        <w:jc w:val="both"/>
      </w:pPr>
      <w:r>
        <w:rPr>
          <w:sz w:val="20"/>
        </w:rPr>
        <w:t xml:space="preserve">характеристику фактических и запланированных на соответствующий период времени результатов выполнения муниципального задания;</w:t>
      </w:r>
    </w:p>
    <w:p>
      <w:pPr>
        <w:pStyle w:val="0"/>
        <w:spacing w:before="200" w:line-rule="auto"/>
        <w:ind w:firstLine="540"/>
        <w:jc w:val="both"/>
      </w:pPr>
      <w:r>
        <w:rPr>
          <w:sz w:val="20"/>
        </w:rPr>
        <w:t xml:space="preserve">характеристику факторов, влияющих на отклонение фактических результатов выполнения муниципального задания от запланированных показателей;</w:t>
      </w:r>
    </w:p>
    <w:p>
      <w:pPr>
        <w:pStyle w:val="0"/>
        <w:spacing w:before="200" w:line-rule="auto"/>
        <w:ind w:firstLine="540"/>
        <w:jc w:val="both"/>
      </w:pPr>
      <w:r>
        <w:rPr>
          <w:sz w:val="20"/>
        </w:rPr>
        <w:t xml:space="preserve">характеристику перспектив выполнения муниципального задания в соответствии с утвержденными объемами муниципального задания;</w:t>
      </w:r>
    </w:p>
    <w:p>
      <w:pPr>
        <w:pStyle w:val="0"/>
        <w:spacing w:before="200" w:line-rule="auto"/>
        <w:ind w:firstLine="540"/>
        <w:jc w:val="both"/>
      </w:pPr>
      <w:r>
        <w:rPr>
          <w:sz w:val="20"/>
        </w:rPr>
        <w:t xml:space="preserve">сведения о целесообразности внесения изменений в муниципальное задание.</w:t>
      </w:r>
    </w:p>
    <w:p>
      <w:pPr>
        <w:pStyle w:val="0"/>
        <w:spacing w:before="200" w:line-rule="auto"/>
        <w:ind w:firstLine="540"/>
        <w:jc w:val="both"/>
      </w:pPr>
      <w:r>
        <w:rPr>
          <w:sz w:val="20"/>
        </w:rPr>
        <w:t xml:space="preserve">Вышеуказанная аналитическая записка ежеквартально предоставляется заместителю главы администрации Кунгурского муниципального округа Пермского края, курирующему соответствующую сферу деятельности учреждения, но не позднее 20 числа месяца, следующего за последним месяцем отчетного квартала.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Порядку</w:t>
      </w:r>
    </w:p>
    <w:p>
      <w:pPr>
        <w:pStyle w:val="0"/>
        <w:jc w:val="right"/>
      </w:pPr>
      <w:r>
        <w:rPr>
          <w:sz w:val="20"/>
        </w:rPr>
        <w:t xml:space="preserve">формирования муниципального задания</w:t>
      </w:r>
    </w:p>
    <w:p>
      <w:pPr>
        <w:pStyle w:val="0"/>
        <w:jc w:val="right"/>
      </w:pPr>
      <w:r>
        <w:rPr>
          <w:sz w:val="20"/>
        </w:rPr>
        <w:t xml:space="preserve">на оказание муниципальных услуг</w:t>
      </w:r>
    </w:p>
    <w:p>
      <w:pPr>
        <w:pStyle w:val="0"/>
        <w:jc w:val="right"/>
      </w:pPr>
      <w:r>
        <w:rPr>
          <w:sz w:val="20"/>
        </w:rPr>
        <w:t xml:space="preserve">(выполнение работ) в отношении</w:t>
      </w:r>
    </w:p>
    <w:p>
      <w:pPr>
        <w:pStyle w:val="0"/>
        <w:jc w:val="right"/>
      </w:pPr>
      <w:r>
        <w:rPr>
          <w:sz w:val="20"/>
        </w:rPr>
        <w:t xml:space="preserve">муниципальных учреждений</w:t>
      </w:r>
    </w:p>
    <w:p>
      <w:pPr>
        <w:pStyle w:val="0"/>
        <w:jc w:val="right"/>
      </w:pPr>
      <w:r>
        <w:rPr>
          <w:sz w:val="20"/>
        </w:rPr>
        <w:t xml:space="preserve">Кунгурского муниципального округа</w:t>
      </w:r>
    </w:p>
    <w:p>
      <w:pPr>
        <w:pStyle w:val="0"/>
        <w:jc w:val="right"/>
      </w:pPr>
      <w:r>
        <w:rPr>
          <w:sz w:val="20"/>
        </w:rPr>
        <w:t xml:space="preserve">Пермского края и финансового обеспечения</w:t>
      </w:r>
    </w:p>
    <w:p>
      <w:pPr>
        <w:pStyle w:val="0"/>
        <w:jc w:val="right"/>
      </w:pPr>
      <w:r>
        <w:rPr>
          <w:sz w:val="20"/>
        </w:rPr>
        <w:t xml:space="preserve">выполнения муниципального задания</w:t>
      </w:r>
    </w:p>
    <w:p>
      <w:pPr>
        <w:pStyle w:val="0"/>
        <w:jc w:val="both"/>
      </w:pPr>
      <w:r>
        <w:rPr>
          <w:sz w:val="20"/>
        </w:rPr>
      </w:r>
    </w:p>
    <w:tbl>
      <w:tblPr>
        <w:tblInd w:w="0" w:type="dxa"/>
        <w:tblLayout w:type="fixed"/>
        <w:tblCellMar>
          <w:top w:w="102" w:type="dxa"/>
          <w:left w:w="62" w:type="dxa"/>
          <w:bottom w:w="102" w:type="dxa"/>
          <w:right w:w="62" w:type="dxa"/>
        </w:tblCellMar>
      </w:tblPr>
      <w:tblGrid>
        <w:gridCol w:w="1984"/>
        <w:gridCol w:w="1020"/>
        <w:gridCol w:w="1425"/>
        <w:gridCol w:w="340"/>
        <w:gridCol w:w="333"/>
        <w:gridCol w:w="964"/>
        <w:gridCol w:w="340"/>
        <w:gridCol w:w="1531"/>
        <w:gridCol w:w="1134"/>
      </w:tblGrid>
      <w:tr>
        <w:tc>
          <w:tcPr>
            <w:gridSpan w:val="2"/>
            <w:tcW w:w="3004" w:type="dxa"/>
            <w:tcBorders>
              <w:top w:val="nil"/>
              <w:left w:val="nil"/>
              <w:bottom w:val="nil"/>
              <w:right w:val="nil"/>
            </w:tcBorders>
            <w:vMerge w:val="restart"/>
          </w:tcPr>
          <w:p>
            <w:pPr>
              <w:pStyle w:val="0"/>
            </w:pPr>
            <w:r>
              <w:rPr>
                <w:sz w:val="20"/>
              </w:rPr>
            </w:r>
          </w:p>
        </w:tc>
        <w:tc>
          <w:tcPr>
            <w:gridSpan w:val="7"/>
            <w:tcW w:w="6067" w:type="dxa"/>
            <w:tcBorders>
              <w:top w:val="nil"/>
              <w:left w:val="nil"/>
              <w:bottom w:val="nil"/>
              <w:right w:val="nil"/>
            </w:tcBorders>
          </w:tcPr>
          <w:p>
            <w:pPr>
              <w:pStyle w:val="0"/>
            </w:pPr>
            <w:r>
              <w:rPr>
                <w:sz w:val="20"/>
              </w:rPr>
              <w:t xml:space="preserve">УТВЕРЖДАЮ</w:t>
            </w:r>
          </w:p>
          <w:p>
            <w:pPr>
              <w:pStyle w:val="0"/>
            </w:pPr>
            <w:r>
              <w:rPr>
                <w:sz w:val="20"/>
              </w:rPr>
              <w:t xml:space="preserve">Руководитель</w:t>
            </w:r>
          </w:p>
          <w:p>
            <w:pPr>
              <w:pStyle w:val="0"/>
            </w:pPr>
            <w:r>
              <w:rPr>
                <w:sz w:val="20"/>
              </w:rPr>
              <w:t xml:space="preserve">(уполномоченное лицо)</w:t>
            </w:r>
          </w:p>
        </w:tc>
      </w:tr>
      <w:tr>
        <w:tc>
          <w:tcPr>
            <w:gridSpan w:val="2"/>
            <w:tcBorders>
              <w:top w:val="nil"/>
              <w:left w:val="nil"/>
              <w:bottom w:val="nil"/>
              <w:right w:val="nil"/>
            </w:tcBorders>
            <w:vMerge w:val="continue"/>
          </w:tcPr>
          <w:p/>
        </w:tc>
        <w:tc>
          <w:tcPr>
            <w:gridSpan w:val="7"/>
            <w:tcW w:w="6067"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gridSpan w:val="7"/>
            <w:tcW w:w="6067" w:type="dxa"/>
            <w:tcBorders>
              <w:top w:val="single" w:sz="4"/>
              <w:left w:val="nil"/>
              <w:bottom w:val="nil"/>
              <w:right w:val="nil"/>
            </w:tcBorders>
          </w:tcPr>
          <w:p>
            <w:pPr>
              <w:pStyle w:val="0"/>
              <w:jc w:val="center"/>
            </w:pPr>
            <w:r>
              <w:rPr>
                <w:sz w:val="20"/>
              </w:rPr>
              <w:t xml:space="preserve">(наименование органа, осуществляющего функции и полномочия учредителя, главного распорядителя средств бюджета Кунгурского муниципального округа, муниципального учреждения)</w:t>
            </w:r>
          </w:p>
        </w:tc>
      </w:tr>
      <w:tr>
        <w:tc>
          <w:tcPr>
            <w:gridSpan w:val="2"/>
            <w:tcBorders>
              <w:top w:val="nil"/>
              <w:left w:val="nil"/>
              <w:bottom w:val="nil"/>
              <w:right w:val="nil"/>
            </w:tcBorders>
            <w:vMerge w:val="continue"/>
          </w:tcPr>
          <w:p/>
        </w:tc>
        <w:tc>
          <w:tcPr>
            <w:tcW w:w="142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gridSpan w:val="2"/>
            <w:tcW w:w="1297"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gridSpan w:val="2"/>
            <w:tcW w:w="2665" w:type="dxa"/>
            <w:tcBorders>
              <w:top w:val="nil"/>
              <w:left w:val="nil"/>
              <w:bottom w:val="single" w:sz="4"/>
              <w:right w:val="nil"/>
            </w:tcBorders>
          </w:tcPr>
          <w:p>
            <w:pPr>
              <w:pStyle w:val="0"/>
            </w:pPr>
            <w:r>
              <w:rPr>
                <w:sz w:val="20"/>
              </w:rPr>
            </w:r>
          </w:p>
        </w:tc>
      </w:tr>
      <w:tr>
        <w:tc>
          <w:tcPr>
            <w:gridSpan w:val="2"/>
            <w:tcBorders>
              <w:top w:val="nil"/>
              <w:left w:val="nil"/>
              <w:bottom w:val="nil"/>
              <w:right w:val="nil"/>
            </w:tcBorders>
            <w:vMerge w:val="continue"/>
          </w:tcPr>
          <w:p/>
        </w:tc>
        <w:tc>
          <w:tcPr>
            <w:tcW w:w="1425" w:type="dxa"/>
            <w:tcBorders>
              <w:top w:val="single" w:sz="4"/>
              <w:left w:val="nil"/>
              <w:bottom w:val="nil"/>
              <w:right w:val="nil"/>
            </w:tcBorders>
          </w:tcPr>
          <w:p>
            <w:pPr>
              <w:pStyle w:val="0"/>
              <w:jc w:val="center"/>
            </w:pPr>
            <w:r>
              <w:rPr>
                <w:sz w:val="20"/>
              </w:rPr>
              <w:t xml:space="preserve">(должность)</w:t>
            </w:r>
          </w:p>
        </w:tc>
        <w:tc>
          <w:tcPr>
            <w:tcW w:w="340" w:type="dxa"/>
            <w:tcBorders>
              <w:top w:val="nil"/>
              <w:left w:val="nil"/>
              <w:bottom w:val="nil"/>
              <w:right w:val="nil"/>
            </w:tcBorders>
          </w:tcPr>
          <w:p>
            <w:pPr>
              <w:pStyle w:val="0"/>
            </w:pPr>
            <w:r>
              <w:rPr>
                <w:sz w:val="20"/>
              </w:rPr>
            </w:r>
          </w:p>
        </w:tc>
        <w:tc>
          <w:tcPr>
            <w:gridSpan w:val="2"/>
            <w:tcW w:w="1297"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gridSpan w:val="2"/>
            <w:tcW w:w="2665" w:type="dxa"/>
            <w:tcBorders>
              <w:top w:val="single" w:sz="4"/>
              <w:left w:val="nil"/>
              <w:bottom w:val="nil"/>
              <w:right w:val="nil"/>
            </w:tcBorders>
          </w:tcPr>
          <w:p>
            <w:pPr>
              <w:pStyle w:val="0"/>
              <w:jc w:val="center"/>
            </w:pPr>
            <w:r>
              <w:rPr>
                <w:sz w:val="20"/>
              </w:rPr>
              <w:t xml:space="preserve">(расшифровка подписи)</w:t>
            </w:r>
          </w:p>
        </w:tc>
      </w:tr>
      <w:tr>
        <w:tc>
          <w:tcPr>
            <w:gridSpan w:val="2"/>
            <w:tcBorders>
              <w:top w:val="nil"/>
              <w:left w:val="nil"/>
              <w:bottom w:val="nil"/>
              <w:right w:val="nil"/>
            </w:tcBorders>
            <w:vMerge w:val="continue"/>
          </w:tcPr>
          <w:p/>
        </w:tc>
        <w:tc>
          <w:tcPr>
            <w:gridSpan w:val="7"/>
            <w:tcW w:w="6067" w:type="dxa"/>
            <w:tcBorders>
              <w:top w:val="nil"/>
              <w:left w:val="nil"/>
              <w:bottom w:val="nil"/>
              <w:right w:val="nil"/>
            </w:tcBorders>
          </w:tcPr>
          <w:p>
            <w:pPr>
              <w:pStyle w:val="0"/>
            </w:pPr>
            <w:r>
              <w:rPr>
                <w:sz w:val="20"/>
              </w:rPr>
              <w:t xml:space="preserve">"___" _______________ 20___ г.</w:t>
            </w:r>
          </w:p>
        </w:tc>
      </w:tr>
      <w:tr>
        <w:tc>
          <w:tcPr>
            <w:gridSpan w:val="9"/>
            <w:tcW w:w="9071" w:type="dxa"/>
            <w:tcBorders>
              <w:top w:val="nil"/>
              <w:left w:val="nil"/>
              <w:bottom w:val="nil"/>
              <w:right w:val="nil"/>
            </w:tcBorders>
          </w:tcPr>
          <w:p>
            <w:pPr>
              <w:pStyle w:val="0"/>
            </w:pPr>
            <w:r>
              <w:rPr>
                <w:sz w:val="20"/>
              </w:rPr>
            </w:r>
          </w:p>
        </w:tc>
      </w:tr>
      <w:tr>
        <w:tblPrEx>
          <w:tblBorders>
            <w:right w:val="single" w:sz="4"/>
            <w:insideV w:val="single" w:sz="4"/>
          </w:tblBorders>
        </w:tblPrEx>
        <w:tc>
          <w:tcPr>
            <w:gridSpan w:val="8"/>
            <w:tcW w:w="7937" w:type="dxa"/>
            <w:tcBorders>
              <w:top w:val="nil"/>
              <w:left w:val="nil"/>
              <w:bottom w:val="nil"/>
            </w:tcBorders>
          </w:tcPr>
          <w:p>
            <w:pPr>
              <w:pStyle w:val="0"/>
            </w:pPr>
            <w:r>
              <w:rPr>
                <w:sz w:val="20"/>
              </w:rPr>
            </w:r>
          </w:p>
        </w:tc>
        <w:tc>
          <w:tcPr>
            <w:tcW w:w="1134" w:type="dxa"/>
            <w:tcBorders>
              <w:top w:val="single" w:sz="4"/>
              <w:bottom w:val="single" w:sz="4"/>
            </w:tcBorders>
          </w:tcPr>
          <w:p>
            <w:pPr>
              <w:pStyle w:val="0"/>
              <w:jc w:val="center"/>
            </w:pPr>
            <w:r>
              <w:rPr>
                <w:sz w:val="20"/>
              </w:rPr>
              <w:t xml:space="preserve">Коды</w:t>
            </w:r>
          </w:p>
        </w:tc>
      </w:tr>
      <w:tr>
        <w:tblPrEx>
          <w:tblBorders>
            <w:right w:val="single" w:sz="4"/>
            <w:insideV w:val="single" w:sz="4"/>
          </w:tblBorders>
        </w:tblPrEx>
        <w:tc>
          <w:tcPr>
            <w:gridSpan w:val="5"/>
            <w:tcW w:w="5102" w:type="dxa"/>
            <w:tcBorders>
              <w:top w:val="nil"/>
              <w:left w:val="nil"/>
              <w:bottom w:val="nil"/>
            </w:tcBorders>
          </w:tcPr>
          <w:bookmarkStart w:id="216" w:name="P216"/>
          <w:bookmarkEnd w:id="216"/>
          <w:p>
            <w:pPr>
              <w:pStyle w:val="0"/>
              <w:jc w:val="right"/>
            </w:pPr>
            <w:r>
              <w:rPr>
                <w:sz w:val="20"/>
              </w:rPr>
              <w:t xml:space="preserve">МУНИЦИПАЛЬНОЕ ЗАДАНИЕ N </w:t>
            </w:r>
            <w:hyperlink w:history="0" w:anchor="P755" w:tooltip="&lt;1&gt; Номер муниципального задания присваивается ГРБС.">
              <w:r>
                <w:rPr>
                  <w:sz w:val="20"/>
                  <w:color w:val="0000ff"/>
                </w:rPr>
                <w:t xml:space="preserve">&lt;1&gt;</w:t>
              </w:r>
            </w:hyperlink>
          </w:p>
        </w:tc>
        <w:tc>
          <w:tcPr>
            <w:tcW w:w="964" w:type="dxa"/>
            <w:tcBorders>
              <w:top w:val="single" w:sz="4"/>
              <w:bottom w:val="single" w:sz="4"/>
            </w:tcBorders>
          </w:tcPr>
          <w:p>
            <w:pPr>
              <w:pStyle w:val="0"/>
            </w:pPr>
            <w:r>
              <w:rPr>
                <w:sz w:val="20"/>
              </w:rPr>
            </w:r>
          </w:p>
        </w:tc>
        <w:tc>
          <w:tcPr>
            <w:gridSpan w:val="2"/>
            <w:tcW w:w="1871" w:type="dxa"/>
            <w:tcBorders>
              <w:top w:val="nil"/>
              <w:bottom w:val="nil"/>
            </w:tcBorders>
          </w:tcPr>
          <w:p>
            <w:pPr>
              <w:pStyle w:val="0"/>
              <w:jc w:val="right"/>
            </w:pPr>
            <w:r>
              <w:rPr>
                <w:sz w:val="20"/>
              </w:rPr>
              <w:t xml:space="preserve">Форма по </w:t>
            </w:r>
            <w:hyperlink w:history="0" r:id="rId16" w:tooltip="&quot;ОК 011-93. Общероссийский классификатор управленческой документации&quot; (утв. Постановлением Госстандарта России от 30.12.1993 N 299) (ред. от 16.06.2023) {КонсультантПлюс}">
              <w:r>
                <w:rPr>
                  <w:sz w:val="20"/>
                  <w:color w:val="0000ff"/>
                </w:rPr>
                <w:t xml:space="preserve">ОКУД</w:t>
              </w:r>
            </w:hyperlink>
          </w:p>
        </w:tc>
        <w:tc>
          <w:tcPr>
            <w:tcW w:w="1134" w:type="dxa"/>
            <w:vAlign w:val="center"/>
            <w:tcBorders>
              <w:top w:val="single" w:sz="4"/>
              <w:bottom w:val="single" w:sz="4"/>
            </w:tcBorders>
          </w:tcPr>
          <w:p>
            <w:pPr>
              <w:pStyle w:val="0"/>
              <w:jc w:val="center"/>
            </w:pPr>
            <w:r>
              <w:rPr>
                <w:sz w:val="20"/>
              </w:rPr>
              <w:t xml:space="preserve">0506001</w:t>
            </w:r>
          </w:p>
        </w:tc>
      </w:tr>
      <w:tr>
        <w:tblPrEx>
          <w:tblBorders>
            <w:right w:val="single" w:sz="4"/>
          </w:tblBorders>
        </w:tblPrEx>
        <w:tc>
          <w:tcPr>
            <w:gridSpan w:val="6"/>
            <w:tcW w:w="6066" w:type="dxa"/>
            <w:tcBorders>
              <w:top w:val="nil"/>
              <w:left w:val="nil"/>
              <w:bottom w:val="nil"/>
              <w:right w:val="nil"/>
            </w:tcBorders>
          </w:tcPr>
          <w:p>
            <w:pPr>
              <w:pStyle w:val="0"/>
              <w:jc w:val="center"/>
            </w:pPr>
            <w:r>
              <w:rPr>
                <w:sz w:val="20"/>
              </w:rPr>
              <w:t xml:space="preserve">на 20__ год и на плановый период 20__ и 20__ годов</w:t>
            </w:r>
          </w:p>
        </w:tc>
        <w:tc>
          <w:tcPr>
            <w:gridSpan w:val="2"/>
            <w:tcW w:w="1871" w:type="dxa"/>
            <w:tcBorders>
              <w:top w:val="nil"/>
              <w:left w:val="nil"/>
              <w:bottom w:val="nil"/>
              <w:right w:val="single" w:sz="4"/>
            </w:tcBorders>
          </w:tcPr>
          <w:p>
            <w:pPr>
              <w:pStyle w:val="0"/>
              <w:jc w:val="right"/>
            </w:pPr>
            <w:r>
              <w:rPr>
                <w:sz w:val="20"/>
              </w:rPr>
              <w:t xml:space="preserve">Дата начала действия</w:t>
            </w:r>
          </w:p>
        </w:tc>
        <w:tc>
          <w:tcPr>
            <w:tcW w:w="1134" w:type="dxa"/>
            <w:tcBorders>
              <w:top w:val="single" w:sz="4"/>
              <w:left w:val="single" w:sz="4"/>
              <w:bottom w:val="single" w:sz="4"/>
              <w:right w:val="single" w:sz="4"/>
            </w:tcBorders>
          </w:tcPr>
          <w:p>
            <w:pPr>
              <w:pStyle w:val="0"/>
            </w:pPr>
            <w:r>
              <w:rPr>
                <w:sz w:val="20"/>
              </w:rPr>
            </w:r>
          </w:p>
        </w:tc>
      </w:tr>
      <w:tr>
        <w:tblPrEx>
          <w:tblBorders>
            <w:right w:val="single" w:sz="4"/>
          </w:tblBorders>
        </w:tblPrEx>
        <w:tc>
          <w:tcPr>
            <w:gridSpan w:val="6"/>
            <w:tcW w:w="6066" w:type="dxa"/>
            <w:tcBorders>
              <w:top w:val="nil"/>
              <w:left w:val="nil"/>
              <w:bottom w:val="nil"/>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Дата окончания действия </w:t>
            </w:r>
            <w:hyperlink w:history="0" w:anchor="P756" w:tooltip="&lt;2&gt; Заполняется в случае досрочного прекращения выполнения муниципального задания.">
              <w:r>
                <w:rPr>
                  <w:sz w:val="20"/>
                  <w:color w:val="0000ff"/>
                </w:rPr>
                <w:t xml:space="preserve">&lt;2&gt;</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tblBorders>
        </w:tblPrEx>
        <w:tc>
          <w:tcPr>
            <w:gridSpan w:val="6"/>
            <w:tcW w:w="6066" w:type="dxa"/>
            <w:tcBorders>
              <w:top w:val="nil"/>
              <w:left w:val="nil"/>
              <w:bottom w:val="nil"/>
              <w:right w:val="nil"/>
            </w:tcBorders>
          </w:tcPr>
          <w:p>
            <w:pPr>
              <w:pStyle w:val="0"/>
            </w:pPr>
            <w:r>
              <w:rPr>
                <w:sz w:val="20"/>
              </w:rPr>
            </w:r>
          </w:p>
        </w:tc>
        <w:tc>
          <w:tcPr>
            <w:gridSpan w:val="2"/>
            <w:tcW w:w="1871" w:type="dxa"/>
            <w:tcBorders>
              <w:top w:val="nil"/>
              <w:left w:val="nil"/>
              <w:bottom w:val="nil"/>
              <w:right w:val="single" w:sz="4"/>
            </w:tcBorders>
            <w:vMerge w:val="restart"/>
          </w:tcPr>
          <w:p>
            <w:pPr>
              <w:pStyle w:val="0"/>
              <w:jc w:val="right"/>
            </w:pPr>
            <w:r>
              <w:rPr>
                <w:sz w:val="20"/>
              </w:rPr>
              <w:t xml:space="preserve">Код по сводному реестру</w:t>
            </w:r>
          </w:p>
        </w:tc>
        <w:tc>
          <w:tcPr>
            <w:tcW w:w="1134" w:type="dxa"/>
            <w:tcBorders>
              <w:top w:val="single" w:sz="4"/>
              <w:left w:val="single" w:sz="4"/>
              <w:bottom w:val="single" w:sz="4"/>
              <w:right w:val="single" w:sz="4"/>
            </w:tcBorders>
            <w:vMerge w:val="restart"/>
          </w:tcPr>
          <w:p>
            <w:pPr>
              <w:pStyle w:val="0"/>
            </w:pPr>
            <w:r>
              <w:rPr>
                <w:sz w:val="20"/>
              </w:rPr>
            </w:r>
          </w:p>
        </w:tc>
      </w:tr>
      <w:tr>
        <w:tblPrEx>
          <w:tblBorders>
            <w:right w:val="single" w:sz="4"/>
          </w:tblBorders>
        </w:tblPrEx>
        <w:tc>
          <w:tcPr>
            <w:tcW w:w="1984" w:type="dxa"/>
            <w:tcBorders>
              <w:top w:val="nil"/>
              <w:left w:val="nil"/>
              <w:bottom w:val="nil"/>
              <w:right w:val="nil"/>
            </w:tcBorders>
          </w:tcPr>
          <w:p>
            <w:pPr>
              <w:pStyle w:val="0"/>
            </w:pPr>
            <w:r>
              <w:rPr>
                <w:sz w:val="20"/>
              </w:rPr>
              <w:t xml:space="preserve">Наименование муниципального учреждения</w:t>
            </w:r>
          </w:p>
        </w:tc>
        <w:tc>
          <w:tcPr>
            <w:gridSpan w:val="5"/>
            <w:tcW w:w="4082" w:type="dxa"/>
            <w:tcBorders>
              <w:top w:val="nil"/>
              <w:left w:val="nil"/>
              <w:bottom w:val="single" w:sz="4"/>
              <w:right w:val="nil"/>
            </w:tcBorders>
          </w:tcPr>
          <w:p>
            <w:pPr>
              <w:pStyle w:val="0"/>
            </w:pPr>
            <w:r>
              <w:rPr>
                <w:sz w:val="20"/>
              </w:rPr>
            </w:r>
          </w:p>
        </w:tc>
        <w:tc>
          <w:tcPr>
            <w:gridSpan w:val="2"/>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single" w:sz="4"/>
          </w:tblBorders>
        </w:tblPrEx>
        <w:tc>
          <w:tcPr>
            <w:tcW w:w="1984" w:type="dxa"/>
            <w:tcBorders>
              <w:top w:val="nil"/>
              <w:left w:val="nil"/>
              <w:bottom w:val="nil"/>
              <w:right w:val="nil"/>
            </w:tcBorders>
          </w:tcPr>
          <w:p>
            <w:pPr>
              <w:pStyle w:val="0"/>
            </w:pPr>
            <w:r>
              <w:rPr>
                <w:sz w:val="20"/>
              </w:rPr>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По </w:t>
            </w:r>
            <w:hyperlink w:history="0" r:id="rId17" w:tooltip="&quot;ОК 029-2014 (КДЕС Ред. 2). Общероссийский классификатор видов экономической деятельности&quot; (утв. Приказом Росстандарта от 31.01.2014 N 14-ст) (ред. от 07.07.2023) {КонсультантПлюс}">
              <w:r>
                <w:rPr>
                  <w:sz w:val="20"/>
                  <w:color w:val="0000ff"/>
                </w:rPr>
                <w:t xml:space="preserve">ОКВЭД</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insideH w:val="single" w:sz="4"/>
          </w:tblBorders>
        </w:tblPrEx>
        <w:tc>
          <w:tcPr>
            <w:tcW w:w="1984" w:type="dxa"/>
            <w:tcBorders>
              <w:top w:val="nil"/>
              <w:left w:val="nil"/>
              <w:bottom w:val="nil"/>
              <w:right w:val="nil"/>
            </w:tcBorders>
            <w:vMerge w:val="restart"/>
          </w:tcPr>
          <w:p>
            <w:pPr>
              <w:pStyle w:val="0"/>
            </w:pPr>
            <w:r>
              <w:rPr>
                <w:sz w:val="20"/>
              </w:rPr>
              <w:t xml:space="preserve">Вид деятельности муниципального учреждения</w:t>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По </w:t>
            </w:r>
            <w:hyperlink w:history="0" r:id="rId18" w:tooltip="&quot;ОК 029-2014 (КДЕС Ред. 2). Общероссийский классификатор видов экономической деятельности&quot; (утв. Приказом Росстандарта от 31.01.2014 N 14-ст) (ред. от 07.07.2023) {КонсультантПлюс}">
              <w:r>
                <w:rPr>
                  <w:sz w:val="20"/>
                  <w:color w:val="0000ff"/>
                </w:rPr>
                <w:t xml:space="preserve">ОКВЭД</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insideH w:val="single" w:sz="4"/>
          </w:tblBorders>
        </w:tblPrEx>
        <w:tc>
          <w:tcPr>
            <w:tcBorders>
              <w:top w:val="nil"/>
              <w:left w:val="nil"/>
              <w:bottom w:val="nil"/>
              <w:right w:val="nil"/>
            </w:tcBorders>
            <w:vMerge w:val="continue"/>
          </w:tcP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single" w:sz="4"/>
            </w:tcBorders>
          </w:tcPr>
          <w:p>
            <w:pPr>
              <w:pStyle w:val="0"/>
              <w:jc w:val="right"/>
            </w:pPr>
            <w:r>
              <w:rPr>
                <w:sz w:val="20"/>
              </w:rPr>
              <w:t xml:space="preserve">По </w:t>
            </w:r>
            <w:hyperlink w:history="0" r:id="rId19" w:tooltip="&quot;ОК 029-2014 (КДЕС Ред. 2). Общероссийский классификатор видов экономической деятельности&quot; (утв. Приказом Росстандарта от 31.01.2014 N 14-ст) (ред. от 07.07.2023) {КонсультантПлюс}">
              <w:r>
                <w:rPr>
                  <w:sz w:val="20"/>
                  <w:color w:val="0000ff"/>
                </w:rPr>
                <w:t xml:space="preserve">ОКВЭД</w:t>
              </w:r>
            </w:hyperlink>
          </w:p>
        </w:tc>
        <w:tc>
          <w:tcPr>
            <w:tcW w:w="1134" w:type="dxa"/>
            <w:tcBorders>
              <w:top w:val="single" w:sz="4"/>
              <w:left w:val="single" w:sz="4"/>
              <w:bottom w:val="single" w:sz="4"/>
              <w:right w:val="single" w:sz="4"/>
            </w:tcBorders>
          </w:tcPr>
          <w:p>
            <w:pPr>
              <w:pStyle w:val="0"/>
            </w:pPr>
            <w:r>
              <w:rPr>
                <w:sz w:val="20"/>
              </w:rPr>
            </w:r>
          </w:p>
        </w:tc>
      </w:tr>
      <w:tr>
        <w:tblPrEx>
          <w:tblBorders>
            <w:right w:val="single" w:sz="4"/>
          </w:tblBorders>
        </w:tblPrEx>
        <w:tc>
          <w:tcPr>
            <w:tcBorders>
              <w:top w:val="nil"/>
              <w:left w:val="nil"/>
              <w:bottom w:val="nil"/>
              <w:right w:val="nil"/>
            </w:tcBorders>
            <w:vMerge w:val="continue"/>
          </w:tcPr>
          <w:p/>
        </w:tc>
        <w:tc>
          <w:tcPr>
            <w:gridSpan w:val="5"/>
            <w:tcW w:w="4082" w:type="dxa"/>
            <w:tcBorders>
              <w:top w:val="single" w:sz="4"/>
              <w:left w:val="nil"/>
              <w:bottom w:val="nil"/>
              <w:right w:val="nil"/>
            </w:tcBorders>
          </w:tcPr>
          <w:p>
            <w:pPr>
              <w:pStyle w:val="0"/>
              <w:jc w:val="center"/>
            </w:pPr>
            <w:r>
              <w:rPr>
                <w:sz w:val="20"/>
              </w:rPr>
              <w:t xml:space="preserve">(указывается вид деятельности муниципального учреждения из общероссийского базового перечня или регионального перечня)</w:t>
            </w:r>
          </w:p>
        </w:tc>
        <w:tc>
          <w:tcPr>
            <w:gridSpan w:val="2"/>
            <w:tcW w:w="1871" w:type="dxa"/>
            <w:tcBorders>
              <w:top w:val="nil"/>
              <w:left w:val="nil"/>
              <w:bottom w:val="nil"/>
              <w:right w:val="single" w:sz="4"/>
            </w:tcBorders>
          </w:tcPr>
          <w:p>
            <w:pPr>
              <w:pStyle w:val="0"/>
            </w:pPr>
            <w:r>
              <w:rPr>
                <w:sz w:val="20"/>
              </w:rPr>
            </w:r>
          </w:p>
        </w:tc>
        <w:tc>
          <w:tcPr>
            <w:tcW w:w="1134" w:type="dxa"/>
            <w:tcBorders>
              <w:top w:val="single" w:sz="4"/>
              <w:left w:val="single" w:sz="4"/>
              <w:bottom w:val="single" w:sz="4"/>
              <w:right w:val="single" w:sz="4"/>
            </w:tcBorders>
          </w:tcPr>
          <w:p>
            <w:pPr>
              <w:pStyle w:val="0"/>
            </w:pPr>
            <w:r>
              <w:rPr>
                <w:sz w:val="20"/>
              </w:rPr>
            </w:r>
          </w:p>
        </w:tc>
      </w:tr>
      <w:tr>
        <w:tc>
          <w:tcPr>
            <w:gridSpan w:val="9"/>
            <w:tcW w:w="9071" w:type="dxa"/>
            <w:tcBorders>
              <w:top w:val="nil"/>
              <w:left w:val="nil"/>
              <w:bottom w:val="nil"/>
              <w:right w:val="nil"/>
            </w:tcBorders>
          </w:tcPr>
          <w:p>
            <w:pPr>
              <w:pStyle w:val="0"/>
            </w:pPr>
            <w:r>
              <w:rPr>
                <w:sz w:val="20"/>
              </w:rPr>
            </w:r>
          </w:p>
        </w:tc>
      </w:tr>
      <w:tr>
        <w:tc>
          <w:tcPr>
            <w:gridSpan w:val="9"/>
            <w:tcW w:w="9071" w:type="dxa"/>
            <w:tcBorders>
              <w:top w:val="nil"/>
              <w:left w:val="nil"/>
              <w:bottom w:val="nil"/>
              <w:right w:val="nil"/>
            </w:tcBorders>
          </w:tcPr>
          <w:p>
            <w:pPr>
              <w:pStyle w:val="0"/>
              <w:outlineLvl w:val="2"/>
              <w:jc w:val="center"/>
            </w:pPr>
            <w:r>
              <w:rPr>
                <w:sz w:val="20"/>
              </w:rPr>
              <w:t xml:space="preserve">Часть I. Сведения об оказываемых муниципальных услугах </w:t>
            </w:r>
            <w:hyperlink w:history="0" w:anchor="P757" w:tooltip="&lt;3&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&lt;3&gt;</w:t>
              </w:r>
            </w:hyperlink>
          </w:p>
        </w:tc>
      </w:tr>
      <w:tr>
        <w:tc>
          <w:tcPr>
            <w:gridSpan w:val="9"/>
            <w:tcW w:w="9071" w:type="dxa"/>
            <w:tcBorders>
              <w:top w:val="nil"/>
              <w:left w:val="nil"/>
              <w:bottom w:val="nil"/>
              <w:right w:val="nil"/>
            </w:tcBorders>
          </w:tcPr>
          <w:p>
            <w:pPr>
              <w:pStyle w:val="0"/>
              <w:jc w:val="center"/>
            </w:pPr>
            <w:r>
              <w:rPr>
                <w:sz w:val="20"/>
              </w:rPr>
              <w:t xml:space="preserve">Раздел _________</w:t>
            </w:r>
          </w:p>
        </w:tc>
      </w:tr>
      <w:tr>
        <w:tc>
          <w:tcPr>
            <w:gridSpan w:val="9"/>
            <w:tcW w:w="9071" w:type="dxa"/>
            <w:tcBorders>
              <w:top w:val="nil"/>
              <w:left w:val="nil"/>
              <w:bottom w:val="nil"/>
              <w:right w:val="nil"/>
            </w:tcBorders>
          </w:tcPr>
          <w:p>
            <w:pPr>
              <w:pStyle w:val="0"/>
            </w:pPr>
            <w:r>
              <w:rPr>
                <w:sz w:val="20"/>
              </w:rPr>
            </w:r>
          </w:p>
        </w:tc>
      </w:tr>
      <w:tr>
        <w:tblPrEx>
          <w:tblBorders>
            <w:right w:val="single" w:sz="4"/>
          </w:tblBorders>
        </w:tblPrEx>
        <w:tc>
          <w:tcPr>
            <w:gridSpan w:val="6"/>
            <w:tcW w:w="6066" w:type="dxa"/>
            <w:tcBorders>
              <w:top w:val="nil"/>
              <w:left w:val="nil"/>
              <w:bottom w:val="nil"/>
              <w:right w:val="nil"/>
            </w:tcBorders>
          </w:tcPr>
          <w:p>
            <w:pPr>
              <w:pStyle w:val="0"/>
            </w:pPr>
            <w:r>
              <w:rPr>
                <w:sz w:val="20"/>
              </w:rPr>
            </w:r>
          </w:p>
        </w:tc>
        <w:tc>
          <w:tcPr>
            <w:gridSpan w:val="2"/>
            <w:tcW w:w="1871" w:type="dxa"/>
            <w:tcBorders>
              <w:top w:val="nil"/>
              <w:left w:val="nil"/>
              <w:bottom w:val="nil"/>
              <w:right w:val="single" w:sz="4"/>
            </w:tcBorders>
            <w:vMerge w:val="restart"/>
          </w:tcPr>
          <w:p>
            <w:pPr>
              <w:pStyle w:val="0"/>
              <w:jc w:val="right"/>
            </w:pPr>
            <w:r>
              <w:rPr>
                <w:sz w:val="20"/>
              </w:rPr>
              <w:t xml:space="preserve">Код по общероссийскому базовому перечню или региональному перечню</w:t>
            </w:r>
          </w:p>
        </w:tc>
        <w:tc>
          <w:tcPr>
            <w:tcW w:w="1134" w:type="dxa"/>
            <w:tcBorders>
              <w:top w:val="single" w:sz="4"/>
              <w:left w:val="single" w:sz="4"/>
              <w:bottom w:val="single" w:sz="4"/>
              <w:right w:val="single" w:sz="4"/>
            </w:tcBorders>
            <w:vMerge w:val="restart"/>
          </w:tcPr>
          <w:p>
            <w:pPr>
              <w:pStyle w:val="0"/>
            </w:pPr>
            <w:r>
              <w:rPr>
                <w:sz w:val="20"/>
              </w:rPr>
            </w:r>
          </w:p>
        </w:tc>
      </w:tr>
      <w:tr>
        <w:tblPrEx>
          <w:tblBorders>
            <w:right w:val="single" w:sz="4"/>
          </w:tblBorders>
        </w:tblPrEx>
        <w:tc>
          <w:tcPr>
            <w:tcW w:w="1984" w:type="dxa"/>
            <w:tcBorders>
              <w:top w:val="nil"/>
              <w:left w:val="nil"/>
              <w:bottom w:val="nil"/>
              <w:right w:val="nil"/>
            </w:tcBorders>
          </w:tcPr>
          <w:p>
            <w:pPr>
              <w:pStyle w:val="0"/>
            </w:pPr>
            <w:r>
              <w:rPr>
                <w:sz w:val="20"/>
              </w:rPr>
              <w:t xml:space="preserve">1. Наименование муниципальной услуги</w:t>
            </w:r>
          </w:p>
        </w:tc>
        <w:tc>
          <w:tcPr>
            <w:gridSpan w:val="5"/>
            <w:tcW w:w="4082" w:type="dxa"/>
            <w:tcBorders>
              <w:top w:val="nil"/>
              <w:left w:val="nil"/>
              <w:bottom w:val="single" w:sz="4"/>
              <w:right w:val="nil"/>
            </w:tcBorders>
          </w:tcPr>
          <w:p>
            <w:pPr>
              <w:pStyle w:val="0"/>
            </w:pPr>
            <w:r>
              <w:rPr>
                <w:sz w:val="20"/>
              </w:rPr>
            </w:r>
          </w:p>
        </w:tc>
        <w:tc>
          <w:tcPr>
            <w:gridSpan w:val="2"/>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c>
          <w:tcPr>
            <w:tcW w:w="1984" w:type="dxa"/>
            <w:tcBorders>
              <w:top w:val="nil"/>
              <w:left w:val="nil"/>
              <w:bottom w:val="nil"/>
              <w:right w:val="nil"/>
            </w:tcBorders>
          </w:tcPr>
          <w:p>
            <w:pPr>
              <w:pStyle w:val="0"/>
            </w:pPr>
            <w:r>
              <w:rPr>
                <w:sz w:val="20"/>
              </w:rPr>
              <w:t xml:space="preserve">2. Категории потребителей муниципальной услуги</w:t>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nil"/>
            </w:tcBorders>
          </w:tcPr>
          <w:p>
            <w:pPr>
              <w:pStyle w:val="0"/>
            </w:pPr>
            <w:r>
              <w:rPr>
                <w:sz w:val="20"/>
              </w:rPr>
            </w:r>
          </w:p>
        </w:tc>
        <w:tc>
          <w:tcPr>
            <w:tcW w:w="1134" w:type="dxa"/>
            <w:tcBorders>
              <w:top w:val="single" w:sz="4"/>
              <w:left w:val="nil"/>
              <w:bottom w:val="nil"/>
              <w:right w:val="nil"/>
            </w:tcBorders>
          </w:tcPr>
          <w:p>
            <w:pPr>
              <w:pStyle w:val="0"/>
            </w:pPr>
            <w:r>
              <w:rPr>
                <w:sz w:val="20"/>
              </w:rPr>
            </w:r>
          </w:p>
        </w:tc>
      </w:tr>
      <w:tr>
        <w:tc>
          <w:tcPr>
            <w:tcW w:w="1984" w:type="dxa"/>
            <w:tcBorders>
              <w:top w:val="nil"/>
              <w:left w:val="nil"/>
              <w:bottom w:val="nil"/>
              <w:right w:val="nil"/>
            </w:tcBorders>
          </w:tcPr>
          <w:p>
            <w:pPr>
              <w:pStyle w:val="0"/>
            </w:pPr>
            <w:r>
              <w:rPr>
                <w:sz w:val="20"/>
              </w:rPr>
            </w:r>
          </w:p>
        </w:tc>
        <w:tc>
          <w:tcPr>
            <w:gridSpan w:val="5"/>
            <w:tcW w:w="4082" w:type="dxa"/>
            <w:tcBorders>
              <w:top w:val="single" w:sz="4"/>
              <w:left w:val="nil"/>
              <w:bottom w:val="single" w:sz="4"/>
              <w:right w:val="nil"/>
            </w:tcBorders>
          </w:tcPr>
          <w:p>
            <w:pPr>
              <w:pStyle w:val="0"/>
            </w:pPr>
            <w:r>
              <w:rPr>
                <w:sz w:val="20"/>
              </w:rPr>
            </w:r>
          </w:p>
        </w:tc>
        <w:tc>
          <w:tcPr>
            <w:gridSpan w:val="2"/>
            <w:tcW w:w="1871" w:type="dxa"/>
            <w:tcBorders>
              <w:top w:val="nil"/>
              <w:left w:val="nil"/>
              <w:bottom w:val="nil"/>
              <w:right w:val="nil"/>
            </w:tcBorders>
          </w:tcPr>
          <w:p>
            <w:pPr>
              <w:pStyle w:val="0"/>
            </w:pPr>
            <w:r>
              <w:rPr>
                <w:sz w:val="20"/>
              </w:rPr>
            </w:r>
          </w:p>
        </w:tc>
        <w:tc>
          <w:tcPr>
            <w:tcW w:w="1134"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Показатели, характеризующие объем и (или) качество муниципальной услуги</w:t>
      </w:r>
    </w:p>
    <w:p>
      <w:pPr>
        <w:pStyle w:val="0"/>
        <w:jc w:val="both"/>
      </w:pPr>
      <w:r>
        <w:rPr>
          <w:sz w:val="20"/>
        </w:rPr>
      </w:r>
    </w:p>
    <w:p>
      <w:pPr>
        <w:pStyle w:val="0"/>
        <w:jc w:val="both"/>
      </w:pPr>
      <w:r>
        <w:rPr>
          <w:sz w:val="20"/>
        </w:rPr>
        <w:t xml:space="preserve">3.1. Показатели, характеризующие качество муниципальной услуги </w:t>
      </w:r>
      <w:hyperlink w:history="0" w:anchor="P758" w:tooltip="&lt;4&gt; Заполняется в соответствии с показателями, характеризующими качество услуг (работ), установленными в общероссийском базовом перечне или региональном перечне, а при их отсутствии или в дополнение к ним - показателями, характеризующими качество, установленными при необходимост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ого каз...">
        <w:r>
          <w:rPr>
            <w:sz w:val="20"/>
            <w:color w:val="0000ff"/>
          </w:rPr>
          <w:t xml:space="preserve">&lt;4&gt;</w:t>
        </w:r>
      </w:hyperlink>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029"/>
        <w:gridCol w:w="1029"/>
        <w:gridCol w:w="1029"/>
        <w:gridCol w:w="1029"/>
        <w:gridCol w:w="1029"/>
        <w:gridCol w:w="1032"/>
        <w:gridCol w:w="850"/>
        <w:gridCol w:w="769"/>
        <w:gridCol w:w="1020"/>
        <w:gridCol w:w="1191"/>
        <w:gridCol w:w="1191"/>
        <w:gridCol w:w="680"/>
        <w:gridCol w:w="850"/>
      </w:tblGrid>
      <w:tr>
        <w:tc>
          <w:tcPr>
            <w:tcW w:w="850"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87" w:type="dxa"/>
            <w:vAlign w:val="center"/>
          </w:tcPr>
          <w:p>
            <w:pPr>
              <w:pStyle w:val="0"/>
              <w:jc w:val="center"/>
            </w:pPr>
            <w:r>
              <w:rPr>
                <w:sz w:val="20"/>
              </w:rPr>
              <w:t xml:space="preserve">Показатель, характеризующий содержание муниципальной услуги</w:t>
            </w:r>
          </w:p>
          <w:p>
            <w:pPr>
              <w:pStyle w:val="0"/>
              <w:jc w:val="center"/>
            </w:pPr>
            <w:r>
              <w:rPr>
                <w:sz w:val="20"/>
              </w:rPr>
              <w:t xml:space="preserve">(по справочникам)</w:t>
            </w:r>
          </w:p>
        </w:tc>
        <w:tc>
          <w:tcPr>
            <w:gridSpan w:val="2"/>
            <w:tcW w:w="2058" w:type="dxa"/>
          </w:tcPr>
          <w:p>
            <w:pPr>
              <w:pStyle w:val="0"/>
              <w:jc w:val="center"/>
            </w:pPr>
            <w:r>
              <w:rPr>
                <w:sz w:val="20"/>
              </w:rPr>
              <w:t xml:space="preserve">Показатель, характеризующий условия (формы) оказания муниципальной услуги</w:t>
            </w:r>
          </w:p>
          <w:p>
            <w:pPr>
              <w:pStyle w:val="0"/>
              <w:jc w:val="center"/>
            </w:pPr>
            <w:r>
              <w:rPr>
                <w:sz w:val="20"/>
              </w:rPr>
              <w:t xml:space="preserve">(по справочникам)</w:t>
            </w:r>
          </w:p>
        </w:tc>
        <w:tc>
          <w:tcPr>
            <w:gridSpan w:val="3"/>
            <w:tcW w:w="2651" w:type="dxa"/>
          </w:tcPr>
          <w:p>
            <w:pPr>
              <w:pStyle w:val="0"/>
              <w:jc w:val="center"/>
            </w:pPr>
            <w:r>
              <w:rPr>
                <w:sz w:val="20"/>
              </w:rPr>
              <w:t xml:space="preserve">Показатель качества муниципальной услуги</w:t>
            </w:r>
          </w:p>
        </w:tc>
        <w:tc>
          <w:tcPr>
            <w:gridSpan w:val="3"/>
            <w:tcW w:w="3402" w:type="dxa"/>
          </w:tcPr>
          <w:p>
            <w:pPr>
              <w:pStyle w:val="0"/>
              <w:jc w:val="center"/>
            </w:pPr>
            <w:r>
              <w:rPr>
                <w:sz w:val="20"/>
              </w:rPr>
              <w:t xml:space="preserve">Значение показателя качества муниципальной услуги</w:t>
            </w:r>
          </w:p>
        </w:tc>
        <w:tc>
          <w:tcPr>
            <w:gridSpan w:val="2"/>
            <w:tcW w:w="1530" w:type="dxa"/>
          </w:tcPr>
          <w:p>
            <w:pPr>
              <w:pStyle w:val="0"/>
              <w:jc w:val="center"/>
            </w:pPr>
            <w:r>
              <w:rPr>
                <w:sz w:val="20"/>
              </w:rPr>
              <w:t xml:space="preserve">Допустимые (возможные) отклонения от установленных показателей качества муниципальной услуги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gridSpan w:val="2"/>
            <w:tcW w:w="1619" w:type="dxa"/>
          </w:tcPr>
          <w:p>
            <w:pPr>
              <w:pStyle w:val="0"/>
              <w:jc w:val="center"/>
            </w:pPr>
            <w:r>
              <w:rPr>
                <w:sz w:val="20"/>
              </w:rPr>
              <w:t xml:space="preserve">Единица измерения</w:t>
            </w:r>
          </w:p>
        </w:tc>
        <w:tc>
          <w:tcPr>
            <w:tcW w:w="1020"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1191"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1191"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32" w:type="dxa"/>
          </w:tcPr>
          <w:p>
            <w:pPr>
              <w:pStyle w:val="0"/>
              <w:jc w:val="center"/>
            </w:pPr>
            <w:r>
              <w:rPr>
                <w:sz w:val="20"/>
              </w:rPr>
              <w:t xml:space="preserve">(наименование показателя) &lt;5&gt;</w:t>
            </w:r>
          </w:p>
        </w:tc>
        <w:tc>
          <w:tcPr>
            <w:tcW w:w="850"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2"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vMerge w:val="continue"/>
          </w:tcPr>
          <w:p/>
        </w:tc>
        <w:tc>
          <w:tcPr>
            <w:vMerge w:val="continue"/>
          </w:tcPr>
          <w:p/>
        </w:tc>
        <w:tc>
          <w:tcPr>
            <w:vMerge w:val="continue"/>
          </w:tcPr>
          <w:p/>
        </w:tc>
        <w:tc>
          <w:tcPr>
            <w:vMerge w:val="continue"/>
          </w:tcPr>
          <w:p/>
        </w:tc>
        <w:tc>
          <w:tcPr>
            <w:vMerge w:val="continue"/>
          </w:tcPr>
          <w:p/>
        </w:tc>
      </w:tr>
      <w:tr>
        <w:tc>
          <w:tcPr>
            <w:tcW w:w="850" w:type="dxa"/>
          </w:tcPr>
          <w:p>
            <w:pPr>
              <w:pStyle w:val="0"/>
              <w:jc w:val="center"/>
            </w:pPr>
            <w:r>
              <w:rPr>
                <w:sz w:val="20"/>
              </w:rPr>
              <w:t xml:space="preserve">1</w:t>
            </w:r>
          </w:p>
        </w:tc>
        <w:tc>
          <w:tcPr>
            <w:tcW w:w="1029" w:type="dxa"/>
          </w:tcPr>
          <w:p>
            <w:pPr>
              <w:pStyle w:val="0"/>
              <w:jc w:val="center"/>
            </w:pPr>
            <w:r>
              <w:rPr>
                <w:sz w:val="20"/>
              </w:rPr>
              <w:t xml:space="preserve">2</w:t>
            </w:r>
          </w:p>
        </w:tc>
        <w:tc>
          <w:tcPr>
            <w:tcW w:w="1029" w:type="dxa"/>
          </w:tcPr>
          <w:p>
            <w:pPr>
              <w:pStyle w:val="0"/>
              <w:jc w:val="center"/>
            </w:pPr>
            <w:r>
              <w:rPr>
                <w:sz w:val="20"/>
              </w:rPr>
              <w:t xml:space="preserve">3</w:t>
            </w:r>
          </w:p>
        </w:tc>
        <w:tc>
          <w:tcPr>
            <w:tcW w:w="1029" w:type="dxa"/>
          </w:tcPr>
          <w:p>
            <w:pPr>
              <w:pStyle w:val="0"/>
              <w:jc w:val="center"/>
            </w:pPr>
            <w:r>
              <w:rPr>
                <w:sz w:val="20"/>
              </w:rPr>
              <w:t xml:space="preserve">4</w:t>
            </w:r>
          </w:p>
        </w:tc>
        <w:tc>
          <w:tcPr>
            <w:tcW w:w="1029" w:type="dxa"/>
          </w:tcPr>
          <w:p>
            <w:pPr>
              <w:pStyle w:val="0"/>
              <w:jc w:val="center"/>
            </w:pPr>
            <w:r>
              <w:rPr>
                <w:sz w:val="20"/>
              </w:rPr>
              <w:t xml:space="preserve">5</w:t>
            </w:r>
          </w:p>
        </w:tc>
        <w:tc>
          <w:tcPr>
            <w:tcW w:w="1029" w:type="dxa"/>
          </w:tcPr>
          <w:p>
            <w:pPr>
              <w:pStyle w:val="0"/>
              <w:jc w:val="center"/>
            </w:pPr>
            <w:r>
              <w:rPr>
                <w:sz w:val="20"/>
              </w:rPr>
              <w:t xml:space="preserve">6</w:t>
            </w:r>
          </w:p>
        </w:tc>
        <w:tc>
          <w:tcPr>
            <w:tcW w:w="1032" w:type="dxa"/>
          </w:tcPr>
          <w:p>
            <w:pPr>
              <w:pStyle w:val="0"/>
              <w:jc w:val="center"/>
            </w:pPr>
            <w:r>
              <w:rPr>
                <w:sz w:val="20"/>
              </w:rPr>
              <w:t xml:space="preserve">7</w:t>
            </w:r>
          </w:p>
        </w:tc>
        <w:tc>
          <w:tcPr>
            <w:tcW w:w="850"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91" w:type="dxa"/>
          </w:tcPr>
          <w:p>
            <w:pPr>
              <w:pStyle w:val="0"/>
              <w:jc w:val="center"/>
            </w:pPr>
            <w:r>
              <w:rPr>
                <w:sz w:val="20"/>
              </w:rPr>
              <w:t xml:space="preserve">11</w:t>
            </w:r>
          </w:p>
        </w:tc>
        <w:tc>
          <w:tcPr>
            <w:tcW w:w="1191" w:type="dxa"/>
          </w:tcPr>
          <w:p>
            <w:pPr>
              <w:pStyle w:val="0"/>
              <w:jc w:val="center"/>
            </w:pPr>
            <w:r>
              <w:rPr>
                <w:sz w:val="20"/>
              </w:rPr>
              <w:t xml:space="preserve">12</w:t>
            </w:r>
          </w:p>
        </w:tc>
        <w:tc>
          <w:tcPr>
            <w:tcW w:w="680" w:type="dxa"/>
          </w:tcPr>
          <w:p>
            <w:pPr>
              <w:pStyle w:val="0"/>
              <w:jc w:val="center"/>
            </w:pPr>
            <w:r>
              <w:rPr>
                <w:sz w:val="20"/>
              </w:rPr>
              <w:t xml:space="preserve">13</w:t>
            </w:r>
          </w:p>
        </w:tc>
        <w:tc>
          <w:tcPr>
            <w:tcW w:w="850" w:type="dxa"/>
          </w:tcPr>
          <w:p>
            <w:pPr>
              <w:pStyle w:val="0"/>
              <w:jc w:val="center"/>
            </w:pPr>
            <w:r>
              <w:rPr>
                <w:sz w:val="20"/>
              </w:rPr>
              <w:t xml:space="preserve">14</w:t>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pStyle w:val="0"/>
        <w:jc w:val="both"/>
      </w:pPr>
      <w:r>
        <w:rPr>
          <w:sz w:val="20"/>
        </w:rPr>
      </w:r>
    </w:p>
    <w:p>
      <w:pPr>
        <w:pStyle w:val="0"/>
        <w:jc w:val="both"/>
      </w:pPr>
      <w:r>
        <w:rPr>
          <w:sz w:val="20"/>
        </w:rPr>
        <w:t xml:space="preserve">3.2. Показатели, характеризующие объем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08"/>
        <w:gridCol w:w="1008"/>
        <w:gridCol w:w="1008"/>
        <w:gridCol w:w="1020"/>
        <w:gridCol w:w="1008"/>
        <w:gridCol w:w="1077"/>
        <w:gridCol w:w="907"/>
        <w:gridCol w:w="769"/>
        <w:gridCol w:w="798"/>
        <w:gridCol w:w="798"/>
        <w:gridCol w:w="798"/>
        <w:gridCol w:w="798"/>
        <w:gridCol w:w="798"/>
        <w:gridCol w:w="802"/>
        <w:gridCol w:w="680"/>
        <w:gridCol w:w="850"/>
      </w:tblGrid>
      <w:tr>
        <w:tc>
          <w:tcPr>
            <w:tcW w:w="907"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24" w:type="dxa"/>
            <w:vAlign w:val="center"/>
          </w:tcPr>
          <w:p>
            <w:pPr>
              <w:pStyle w:val="0"/>
              <w:jc w:val="center"/>
            </w:pPr>
            <w:r>
              <w:rPr>
                <w:sz w:val="20"/>
              </w:rPr>
              <w:t xml:space="preserve">Показатель, характеризующий содержание муниципальной услуги</w:t>
            </w:r>
          </w:p>
          <w:p>
            <w:pPr>
              <w:pStyle w:val="0"/>
              <w:jc w:val="center"/>
            </w:pPr>
            <w:r>
              <w:rPr>
                <w:sz w:val="20"/>
              </w:rPr>
              <w:t xml:space="preserve">(по справочникам)</w:t>
            </w:r>
          </w:p>
        </w:tc>
        <w:tc>
          <w:tcPr>
            <w:gridSpan w:val="2"/>
            <w:tcW w:w="2028" w:type="dxa"/>
          </w:tcPr>
          <w:p>
            <w:pPr>
              <w:pStyle w:val="0"/>
              <w:jc w:val="center"/>
            </w:pPr>
            <w:r>
              <w:rPr>
                <w:sz w:val="20"/>
              </w:rPr>
              <w:t xml:space="preserve">Показатель, характеризующий условия (формы) оказания муниципальной услуги</w:t>
            </w:r>
          </w:p>
          <w:p>
            <w:pPr>
              <w:pStyle w:val="0"/>
              <w:jc w:val="center"/>
            </w:pPr>
            <w:r>
              <w:rPr>
                <w:sz w:val="20"/>
              </w:rPr>
              <w:t xml:space="preserve">(по справочникам)</w:t>
            </w:r>
          </w:p>
        </w:tc>
        <w:tc>
          <w:tcPr>
            <w:gridSpan w:val="3"/>
            <w:tcW w:w="2753" w:type="dxa"/>
          </w:tcPr>
          <w:p>
            <w:pPr>
              <w:pStyle w:val="0"/>
              <w:jc w:val="center"/>
            </w:pPr>
            <w:r>
              <w:rPr>
                <w:sz w:val="20"/>
              </w:rPr>
              <w:t xml:space="preserve">Показатель объема муниципальной услуги</w:t>
            </w:r>
          </w:p>
        </w:tc>
        <w:tc>
          <w:tcPr>
            <w:gridSpan w:val="3"/>
            <w:tcW w:w="2394" w:type="dxa"/>
          </w:tcPr>
          <w:p>
            <w:pPr>
              <w:pStyle w:val="0"/>
              <w:jc w:val="center"/>
            </w:pPr>
            <w:r>
              <w:rPr>
                <w:sz w:val="20"/>
              </w:rPr>
              <w:t xml:space="preserve">Значение показателя качества муниципальной услуги</w:t>
            </w:r>
          </w:p>
        </w:tc>
        <w:tc>
          <w:tcPr>
            <w:gridSpan w:val="3"/>
            <w:tcW w:w="2398" w:type="dxa"/>
          </w:tcPr>
          <w:p>
            <w:pPr>
              <w:pStyle w:val="0"/>
              <w:jc w:val="center"/>
            </w:pPr>
            <w:r>
              <w:rPr>
                <w:sz w:val="20"/>
              </w:rPr>
              <w:t xml:space="preserve">Размер платы (цена, тариф) </w:t>
            </w:r>
            <w:hyperlink w:history="0" w:anchor="P762" w:tooltip="&lt;8&gt; Заполняется в случае, если оказание услуг (выполнение работ) осуществляется на платной основе в соответствии с законодательством Российской Федерации в рамках муниципального задания. При оказании услуг (выполнении работ) на платной основе сверх установленного муниципального задания указанный показатель не формируется.">
              <w:r>
                <w:rPr>
                  <w:sz w:val="20"/>
                  <w:color w:val="0000ff"/>
                </w:rPr>
                <w:t xml:space="preserve">&lt;8&gt;</w:t>
              </w:r>
            </w:hyperlink>
          </w:p>
        </w:tc>
        <w:tc>
          <w:tcPr>
            <w:gridSpan w:val="2"/>
            <w:tcW w:w="1530" w:type="dxa"/>
          </w:tcPr>
          <w:p>
            <w:pPr>
              <w:pStyle w:val="0"/>
              <w:jc w:val="center"/>
            </w:pPr>
            <w:r>
              <w:rPr>
                <w:sz w:val="20"/>
              </w:rPr>
              <w:t xml:space="preserve">Допустимые (возможные) отклонения от установленных показателей качества муниципальной услуги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gridSpan w:val="2"/>
            <w:tcW w:w="1676" w:type="dxa"/>
          </w:tcPr>
          <w:p>
            <w:pPr>
              <w:pStyle w:val="0"/>
              <w:jc w:val="center"/>
            </w:pPr>
            <w:r>
              <w:rPr>
                <w:sz w:val="20"/>
              </w:rPr>
              <w:t xml:space="preserve">Единица измерения</w:t>
            </w:r>
          </w:p>
        </w:tc>
        <w:tc>
          <w:tcPr>
            <w:tcW w:w="798"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798"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798"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798"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798"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802"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08" w:type="dxa"/>
          </w:tcPr>
          <w:p>
            <w:pPr>
              <w:pStyle w:val="0"/>
              <w:jc w:val="center"/>
            </w:pPr>
            <w:r>
              <w:rPr>
                <w:sz w:val="20"/>
              </w:rPr>
              <w:t xml:space="preserve">(наименование показателя) &lt;5&gt;</w:t>
            </w:r>
          </w:p>
        </w:tc>
        <w:tc>
          <w:tcPr>
            <w:tcW w:w="1008" w:type="dxa"/>
          </w:tcPr>
          <w:p>
            <w:pPr>
              <w:pStyle w:val="0"/>
              <w:jc w:val="center"/>
            </w:pPr>
            <w:r>
              <w:rPr>
                <w:sz w:val="20"/>
              </w:rPr>
              <w:t xml:space="preserve">(наименование показателя) &lt;5&gt;</w:t>
            </w:r>
          </w:p>
        </w:tc>
        <w:tc>
          <w:tcPr>
            <w:tcW w:w="1008" w:type="dxa"/>
          </w:tcPr>
          <w:p>
            <w:pPr>
              <w:pStyle w:val="0"/>
              <w:jc w:val="center"/>
            </w:pPr>
            <w:r>
              <w:rPr>
                <w:sz w:val="20"/>
              </w:rPr>
              <w:t xml:space="preserve">(наименование показателя) &lt;5&gt;</w:t>
            </w:r>
          </w:p>
        </w:tc>
        <w:tc>
          <w:tcPr>
            <w:tcW w:w="1020" w:type="dxa"/>
          </w:tcPr>
          <w:p>
            <w:pPr>
              <w:pStyle w:val="0"/>
              <w:jc w:val="center"/>
            </w:pPr>
            <w:r>
              <w:rPr>
                <w:sz w:val="20"/>
              </w:rPr>
              <w:t xml:space="preserve">(наименование показателя) &lt;5&gt;</w:t>
            </w:r>
          </w:p>
        </w:tc>
        <w:tc>
          <w:tcPr>
            <w:tcW w:w="1008" w:type="dxa"/>
          </w:tcPr>
          <w:p>
            <w:pPr>
              <w:pStyle w:val="0"/>
              <w:jc w:val="center"/>
            </w:pPr>
            <w:r>
              <w:rPr>
                <w:sz w:val="20"/>
              </w:rPr>
              <w:t xml:space="preserve">(наименование показателя) &lt;5&gt;</w:t>
            </w:r>
          </w:p>
        </w:tc>
        <w:tc>
          <w:tcPr>
            <w:tcW w:w="1077" w:type="dxa"/>
          </w:tcPr>
          <w:p>
            <w:pPr>
              <w:pStyle w:val="0"/>
              <w:jc w:val="center"/>
            </w:pPr>
            <w:r>
              <w:rPr>
                <w:sz w:val="20"/>
              </w:rPr>
              <w:t xml:space="preserve">(наименование показателя) &lt;5&gt;</w:t>
            </w:r>
          </w:p>
        </w:tc>
        <w:tc>
          <w:tcPr>
            <w:tcW w:w="907"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3"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08" w:type="dxa"/>
          </w:tcPr>
          <w:p>
            <w:pPr>
              <w:pStyle w:val="0"/>
              <w:jc w:val="center"/>
            </w:pPr>
            <w:r>
              <w:rPr>
                <w:sz w:val="20"/>
              </w:rPr>
              <w:t xml:space="preserve">2</w:t>
            </w:r>
          </w:p>
        </w:tc>
        <w:tc>
          <w:tcPr>
            <w:tcW w:w="1008" w:type="dxa"/>
          </w:tcPr>
          <w:p>
            <w:pPr>
              <w:pStyle w:val="0"/>
              <w:jc w:val="center"/>
            </w:pPr>
            <w:r>
              <w:rPr>
                <w:sz w:val="20"/>
              </w:rPr>
              <w:t xml:space="preserve">3</w:t>
            </w:r>
          </w:p>
        </w:tc>
        <w:tc>
          <w:tcPr>
            <w:tcW w:w="1008" w:type="dxa"/>
          </w:tcPr>
          <w:p>
            <w:pPr>
              <w:pStyle w:val="0"/>
              <w:jc w:val="center"/>
            </w:pPr>
            <w:r>
              <w:rPr>
                <w:sz w:val="20"/>
              </w:rPr>
              <w:t xml:space="preserve">4</w:t>
            </w:r>
          </w:p>
        </w:tc>
        <w:tc>
          <w:tcPr>
            <w:tcW w:w="1020" w:type="dxa"/>
          </w:tcPr>
          <w:p>
            <w:pPr>
              <w:pStyle w:val="0"/>
              <w:jc w:val="center"/>
            </w:pPr>
            <w:r>
              <w:rPr>
                <w:sz w:val="20"/>
              </w:rPr>
              <w:t xml:space="preserve">5</w:t>
            </w:r>
          </w:p>
        </w:tc>
        <w:tc>
          <w:tcPr>
            <w:tcW w:w="1008" w:type="dxa"/>
          </w:tcPr>
          <w:p>
            <w:pPr>
              <w:pStyle w:val="0"/>
              <w:jc w:val="center"/>
            </w:pPr>
            <w:r>
              <w:rPr>
                <w:sz w:val="20"/>
              </w:rPr>
              <w:t xml:space="preserve">6</w:t>
            </w:r>
          </w:p>
        </w:tc>
        <w:tc>
          <w:tcPr>
            <w:tcW w:w="1077" w:type="dxa"/>
          </w:tcPr>
          <w:p>
            <w:pPr>
              <w:pStyle w:val="0"/>
              <w:jc w:val="center"/>
            </w:pPr>
            <w:r>
              <w:rPr>
                <w:sz w:val="20"/>
              </w:rPr>
              <w:t xml:space="preserve">7</w:t>
            </w:r>
          </w:p>
        </w:tc>
        <w:tc>
          <w:tcPr>
            <w:tcW w:w="907" w:type="dxa"/>
          </w:tcPr>
          <w:p>
            <w:pPr>
              <w:pStyle w:val="0"/>
              <w:jc w:val="center"/>
            </w:pPr>
            <w:r>
              <w:rPr>
                <w:sz w:val="20"/>
              </w:rPr>
              <w:t xml:space="preserve">8</w:t>
            </w:r>
          </w:p>
        </w:tc>
        <w:tc>
          <w:tcPr>
            <w:tcW w:w="769" w:type="dxa"/>
          </w:tcPr>
          <w:p>
            <w:pPr>
              <w:pStyle w:val="0"/>
              <w:jc w:val="center"/>
            </w:pPr>
            <w:r>
              <w:rPr>
                <w:sz w:val="20"/>
              </w:rPr>
              <w:t xml:space="preserve">9</w:t>
            </w:r>
          </w:p>
        </w:tc>
        <w:tc>
          <w:tcPr>
            <w:tcW w:w="798" w:type="dxa"/>
          </w:tcPr>
          <w:p>
            <w:pPr>
              <w:pStyle w:val="0"/>
              <w:jc w:val="center"/>
            </w:pPr>
            <w:r>
              <w:rPr>
                <w:sz w:val="20"/>
              </w:rPr>
              <w:t xml:space="preserve">10</w:t>
            </w:r>
          </w:p>
        </w:tc>
        <w:tc>
          <w:tcPr>
            <w:tcW w:w="798" w:type="dxa"/>
          </w:tcPr>
          <w:p>
            <w:pPr>
              <w:pStyle w:val="0"/>
              <w:jc w:val="center"/>
            </w:pPr>
            <w:r>
              <w:rPr>
                <w:sz w:val="20"/>
              </w:rPr>
              <w:t xml:space="preserve">11</w:t>
            </w:r>
          </w:p>
        </w:tc>
        <w:tc>
          <w:tcPr>
            <w:tcW w:w="798" w:type="dxa"/>
          </w:tcPr>
          <w:p>
            <w:pPr>
              <w:pStyle w:val="0"/>
              <w:jc w:val="center"/>
            </w:pPr>
            <w:r>
              <w:rPr>
                <w:sz w:val="20"/>
              </w:rPr>
              <w:t xml:space="preserve">12</w:t>
            </w:r>
          </w:p>
        </w:tc>
        <w:tc>
          <w:tcPr>
            <w:tcW w:w="798" w:type="dxa"/>
          </w:tcPr>
          <w:p>
            <w:pPr>
              <w:pStyle w:val="0"/>
              <w:jc w:val="center"/>
            </w:pPr>
            <w:r>
              <w:rPr>
                <w:sz w:val="20"/>
              </w:rPr>
              <w:t xml:space="preserve">13</w:t>
            </w:r>
          </w:p>
        </w:tc>
        <w:tc>
          <w:tcPr>
            <w:tcW w:w="798" w:type="dxa"/>
          </w:tcPr>
          <w:p>
            <w:pPr>
              <w:pStyle w:val="0"/>
              <w:jc w:val="center"/>
            </w:pPr>
            <w:r>
              <w:rPr>
                <w:sz w:val="20"/>
              </w:rPr>
              <w:t xml:space="preserve">14</w:t>
            </w:r>
          </w:p>
        </w:tc>
        <w:tc>
          <w:tcPr>
            <w:tcW w:w="802" w:type="dxa"/>
          </w:tcPr>
          <w:p>
            <w:pPr>
              <w:pStyle w:val="0"/>
              <w:jc w:val="center"/>
            </w:pPr>
            <w:r>
              <w:rPr>
                <w:sz w:val="20"/>
              </w:rPr>
              <w:t xml:space="preserve">15</w:t>
            </w:r>
          </w:p>
        </w:tc>
        <w:tc>
          <w:tcPr>
            <w:tcW w:w="680" w:type="dxa"/>
          </w:tcPr>
          <w:p>
            <w:pPr>
              <w:pStyle w:val="0"/>
              <w:jc w:val="center"/>
            </w:pPr>
            <w:r>
              <w:rPr>
                <w:sz w:val="20"/>
              </w:rPr>
              <w:t xml:space="preserve">16</w:t>
            </w:r>
          </w:p>
        </w:tc>
        <w:tc>
          <w:tcPr>
            <w:tcW w:w="850" w:type="dxa"/>
          </w:tcPr>
          <w:p>
            <w:pPr>
              <w:pStyle w:val="0"/>
              <w:jc w:val="center"/>
            </w:pPr>
            <w:r>
              <w:rPr>
                <w:sz w:val="20"/>
              </w:rPr>
              <w:t xml:space="preserve">17</w:t>
            </w:r>
          </w:p>
        </w:tc>
      </w:tr>
      <w:tr>
        <w:tc>
          <w:tcPr>
            <w:tcW w:w="907"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769"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80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769"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80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08" w:type="dxa"/>
          </w:tcPr>
          <w:p>
            <w:pPr>
              <w:pStyle w:val="0"/>
            </w:pPr>
            <w:r>
              <w:rPr>
                <w:sz w:val="20"/>
              </w:rPr>
            </w:r>
          </w:p>
        </w:tc>
        <w:tc>
          <w:tcPr>
            <w:tcW w:w="1020" w:type="dxa"/>
          </w:tcPr>
          <w:p>
            <w:pPr>
              <w:pStyle w:val="0"/>
            </w:pPr>
            <w:r>
              <w:rPr>
                <w:sz w:val="20"/>
              </w:rPr>
            </w:r>
          </w:p>
        </w:tc>
        <w:tc>
          <w:tcPr>
            <w:tcW w:w="1008"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769"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798" w:type="dxa"/>
          </w:tcPr>
          <w:p>
            <w:pPr>
              <w:pStyle w:val="0"/>
            </w:pPr>
            <w:r>
              <w:rPr>
                <w:sz w:val="20"/>
              </w:rPr>
            </w:r>
          </w:p>
        </w:tc>
        <w:tc>
          <w:tcPr>
            <w:tcW w:w="802"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jc w:val="both"/>
      </w:pPr>
      <w:r>
        <w:rPr>
          <w:sz w:val="20"/>
        </w:rPr>
        <w:t xml:space="preserve">4. Нормативные правовые акты, устанавливающие размер платы (цену, тариф) либо порядок ее (его) установления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2778"/>
        <w:gridCol w:w="1247"/>
        <w:gridCol w:w="850"/>
        <w:gridCol w:w="2891"/>
      </w:tblGrid>
      <w:tr>
        <w:tc>
          <w:tcPr>
            <w:gridSpan w:val="5"/>
            <w:tcW w:w="9070" w:type="dxa"/>
          </w:tcPr>
          <w:p>
            <w:pPr>
              <w:pStyle w:val="0"/>
              <w:jc w:val="center"/>
            </w:pPr>
            <w:r>
              <w:rPr>
                <w:sz w:val="20"/>
              </w:rPr>
              <w:t xml:space="preserve">Нормативный правовой акт</w:t>
            </w:r>
          </w:p>
        </w:tc>
      </w:tr>
      <w:tr>
        <w:tc>
          <w:tcPr>
            <w:tcW w:w="1304" w:type="dxa"/>
          </w:tcPr>
          <w:p>
            <w:pPr>
              <w:pStyle w:val="0"/>
              <w:jc w:val="center"/>
            </w:pPr>
            <w:r>
              <w:rPr>
                <w:sz w:val="20"/>
              </w:rPr>
              <w:t xml:space="preserve">вид</w:t>
            </w:r>
          </w:p>
        </w:tc>
        <w:tc>
          <w:tcPr>
            <w:tcW w:w="2778" w:type="dxa"/>
          </w:tcPr>
          <w:p>
            <w:pPr>
              <w:pStyle w:val="0"/>
              <w:jc w:val="center"/>
            </w:pPr>
            <w:r>
              <w:rPr>
                <w:sz w:val="20"/>
              </w:rPr>
              <w:t xml:space="preserve">принявший орган</w:t>
            </w:r>
          </w:p>
        </w:tc>
        <w:tc>
          <w:tcPr>
            <w:tcW w:w="1247" w:type="dxa"/>
          </w:tcPr>
          <w:p>
            <w:pPr>
              <w:pStyle w:val="0"/>
              <w:jc w:val="center"/>
            </w:pPr>
            <w:r>
              <w:rPr>
                <w:sz w:val="20"/>
              </w:rPr>
              <w:t xml:space="preserve">дата</w:t>
            </w:r>
          </w:p>
        </w:tc>
        <w:tc>
          <w:tcPr>
            <w:tcW w:w="850" w:type="dxa"/>
          </w:tcPr>
          <w:p>
            <w:pPr>
              <w:pStyle w:val="0"/>
              <w:jc w:val="center"/>
            </w:pPr>
            <w:r>
              <w:rPr>
                <w:sz w:val="20"/>
              </w:rPr>
              <w:t xml:space="preserve">номер</w:t>
            </w:r>
          </w:p>
        </w:tc>
        <w:tc>
          <w:tcPr>
            <w:tcW w:w="2891" w:type="dxa"/>
          </w:tcPr>
          <w:p>
            <w:pPr>
              <w:pStyle w:val="0"/>
              <w:jc w:val="center"/>
            </w:pPr>
            <w:r>
              <w:rPr>
                <w:sz w:val="20"/>
              </w:rPr>
              <w:t xml:space="preserve">наименование</w:t>
            </w:r>
          </w:p>
        </w:tc>
      </w:tr>
      <w:tr>
        <w:tc>
          <w:tcPr>
            <w:tcW w:w="1304" w:type="dxa"/>
          </w:tcPr>
          <w:p>
            <w:pPr>
              <w:pStyle w:val="0"/>
              <w:jc w:val="center"/>
            </w:pPr>
            <w:r>
              <w:rPr>
                <w:sz w:val="20"/>
              </w:rPr>
              <w:t xml:space="preserve">1</w:t>
            </w:r>
          </w:p>
        </w:tc>
        <w:tc>
          <w:tcPr>
            <w:tcW w:w="2778" w:type="dxa"/>
          </w:tcPr>
          <w:p>
            <w:pPr>
              <w:pStyle w:val="0"/>
              <w:jc w:val="center"/>
            </w:pPr>
            <w:r>
              <w:rPr>
                <w:sz w:val="20"/>
              </w:rPr>
              <w:t xml:space="preserve">2</w:t>
            </w:r>
          </w:p>
        </w:tc>
        <w:tc>
          <w:tcPr>
            <w:tcW w:w="1247" w:type="dxa"/>
          </w:tcPr>
          <w:p>
            <w:pPr>
              <w:pStyle w:val="0"/>
              <w:jc w:val="center"/>
            </w:pPr>
            <w:r>
              <w:rPr>
                <w:sz w:val="20"/>
              </w:rPr>
              <w:t xml:space="preserve">3</w:t>
            </w:r>
          </w:p>
        </w:tc>
        <w:tc>
          <w:tcPr>
            <w:tcW w:w="850" w:type="dxa"/>
          </w:tcPr>
          <w:p>
            <w:pPr>
              <w:pStyle w:val="0"/>
              <w:jc w:val="center"/>
            </w:pPr>
            <w:r>
              <w:rPr>
                <w:sz w:val="20"/>
              </w:rPr>
              <w:t xml:space="preserve">4</w:t>
            </w:r>
          </w:p>
        </w:tc>
        <w:tc>
          <w:tcPr>
            <w:tcW w:w="2891" w:type="dxa"/>
          </w:tcPr>
          <w:p>
            <w:pPr>
              <w:pStyle w:val="0"/>
              <w:jc w:val="center"/>
            </w:pPr>
            <w:r>
              <w:rPr>
                <w:sz w:val="20"/>
              </w:rPr>
              <w:t xml:space="preserve">5</w:t>
            </w:r>
          </w:p>
        </w:tc>
      </w:tr>
      <w:tr>
        <w:tc>
          <w:tcPr>
            <w:tcW w:w="1304" w:type="dxa"/>
          </w:tcPr>
          <w:p>
            <w:pPr>
              <w:pStyle w:val="0"/>
            </w:pPr>
            <w:r>
              <w:rPr>
                <w:sz w:val="20"/>
              </w:rPr>
            </w:r>
          </w:p>
        </w:tc>
        <w:tc>
          <w:tcPr>
            <w:tcW w:w="2778" w:type="dxa"/>
          </w:tcPr>
          <w:p>
            <w:pPr>
              <w:pStyle w:val="0"/>
            </w:pPr>
            <w:r>
              <w:rPr>
                <w:sz w:val="20"/>
              </w:rPr>
            </w:r>
          </w:p>
        </w:tc>
        <w:tc>
          <w:tcPr>
            <w:tcW w:w="1247" w:type="dxa"/>
          </w:tcPr>
          <w:p>
            <w:pPr>
              <w:pStyle w:val="0"/>
            </w:pPr>
            <w:r>
              <w:rPr>
                <w:sz w:val="20"/>
              </w:rPr>
            </w:r>
          </w:p>
        </w:tc>
        <w:tc>
          <w:tcPr>
            <w:tcW w:w="850" w:type="dxa"/>
          </w:tcPr>
          <w:p>
            <w:pPr>
              <w:pStyle w:val="0"/>
            </w:pPr>
            <w:r>
              <w:rPr>
                <w:sz w:val="20"/>
              </w:rPr>
            </w:r>
          </w:p>
        </w:tc>
        <w:tc>
          <w:tcPr>
            <w:tcW w:w="2891" w:type="dxa"/>
          </w:tcPr>
          <w:p>
            <w:pPr>
              <w:pStyle w:val="0"/>
            </w:pPr>
            <w:r>
              <w:rPr>
                <w:sz w:val="20"/>
              </w:rPr>
            </w:r>
          </w:p>
        </w:tc>
      </w:tr>
    </w:tbl>
    <w:p>
      <w:pPr>
        <w:pStyle w:val="0"/>
        <w:jc w:val="both"/>
      </w:pPr>
      <w:r>
        <w:rPr>
          <w:sz w:val="20"/>
        </w:rPr>
      </w:r>
    </w:p>
    <w:p>
      <w:pPr>
        <w:pStyle w:val="0"/>
        <w:jc w:val="both"/>
      </w:pPr>
      <w:r>
        <w:rPr>
          <w:sz w:val="20"/>
        </w:rPr>
        <w:t xml:space="preserve">5. Порядок оказания муниципальной услуги</w:t>
      </w:r>
    </w:p>
    <w:p>
      <w:pPr>
        <w:pStyle w:val="0"/>
        <w:jc w:val="both"/>
      </w:pPr>
      <w:r>
        <w:rPr>
          <w:sz w:val="20"/>
        </w:rPr>
      </w:r>
    </w:p>
    <w:tbl>
      <w:tblPr>
        <w:tblInd w:w="0" w:type="dxa"/>
        <w:tblLayout w:type="fixed"/>
        <w:tblCellMar>
          <w:top w:w="102" w:type="dxa"/>
          <w:left w:w="62" w:type="dxa"/>
          <w:bottom w:w="102" w:type="dxa"/>
          <w:right w:w="62" w:type="dxa"/>
        </w:tblCellMar>
      </w:tblPr>
      <w:tblGrid>
        <w:gridCol w:w="3688"/>
        <w:gridCol w:w="5383"/>
      </w:tblGrid>
      <w:tr>
        <w:tc>
          <w:tcPr>
            <w:tcW w:w="3688" w:type="dxa"/>
            <w:tcBorders>
              <w:top w:val="nil"/>
              <w:left w:val="nil"/>
              <w:bottom w:val="nil"/>
              <w:right w:val="nil"/>
            </w:tcBorders>
          </w:tcPr>
          <w:p>
            <w:pPr>
              <w:pStyle w:val="0"/>
            </w:pPr>
            <w:r>
              <w:rPr>
                <w:sz w:val="20"/>
              </w:rPr>
              <w:t xml:space="preserve">5.1. Нормативные правовые акты, регулирующие порядок оказания муниципальной услуги</w:t>
            </w:r>
          </w:p>
        </w:tc>
        <w:tc>
          <w:tcPr>
            <w:tcW w:w="5383" w:type="dxa"/>
            <w:tcBorders>
              <w:top w:val="nil"/>
              <w:left w:val="nil"/>
              <w:bottom w:val="single" w:sz="4"/>
              <w:right w:val="nil"/>
            </w:tcBorders>
          </w:tcPr>
          <w:p>
            <w:pPr>
              <w:pStyle w:val="0"/>
            </w:pPr>
            <w:r>
              <w:rPr>
                <w:sz w:val="20"/>
              </w:rPr>
            </w:r>
          </w:p>
        </w:tc>
      </w:tr>
      <w:tr>
        <w:tc>
          <w:tcPr>
            <w:tcW w:w="3688" w:type="dxa"/>
            <w:tcBorders>
              <w:top w:val="nil"/>
              <w:left w:val="nil"/>
              <w:bottom w:val="nil"/>
              <w:right w:val="nil"/>
            </w:tcBorders>
          </w:tcPr>
          <w:p>
            <w:pPr>
              <w:pStyle w:val="0"/>
            </w:pPr>
            <w:r>
              <w:rPr>
                <w:sz w:val="20"/>
              </w:rPr>
            </w:r>
          </w:p>
        </w:tc>
        <w:tc>
          <w:tcPr>
            <w:tcW w:w="5383" w:type="dxa"/>
            <w:tcBorders>
              <w:top w:val="single" w:sz="4"/>
              <w:left w:val="nil"/>
              <w:bottom w:val="nil"/>
              <w:right w:val="nil"/>
            </w:tcBorders>
          </w:tcPr>
          <w:p>
            <w:pPr>
              <w:pStyle w:val="0"/>
              <w:jc w:val="center"/>
            </w:pPr>
            <w:r>
              <w:rPr>
                <w:sz w:val="20"/>
              </w:rPr>
              <w:t xml:space="preserve">(наименование, номер и дата нормативного правового акта)</w:t>
            </w:r>
          </w:p>
        </w:tc>
      </w:tr>
    </w:tbl>
    <w:p>
      <w:pPr>
        <w:pStyle w:val="0"/>
        <w:jc w:val="both"/>
      </w:pPr>
      <w:r>
        <w:rPr>
          <w:sz w:val="20"/>
        </w:rPr>
      </w:r>
    </w:p>
    <w:p>
      <w:pPr>
        <w:pStyle w:val="0"/>
        <w:jc w:val="both"/>
      </w:pPr>
      <w:r>
        <w:rPr>
          <w:sz w:val="20"/>
        </w:rPr>
        <w:t xml:space="preserve">5.2. Порядок информирования потенциальных потребителей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3798"/>
        <w:gridCol w:w="2494"/>
      </w:tblGrid>
      <w:tr>
        <w:tc>
          <w:tcPr>
            <w:tcW w:w="2778" w:type="dxa"/>
          </w:tcPr>
          <w:p>
            <w:pPr>
              <w:pStyle w:val="0"/>
              <w:jc w:val="center"/>
            </w:pPr>
            <w:r>
              <w:rPr>
                <w:sz w:val="20"/>
              </w:rPr>
              <w:t xml:space="preserve">Способ информирования</w:t>
            </w:r>
          </w:p>
        </w:tc>
        <w:tc>
          <w:tcPr>
            <w:tcW w:w="3798" w:type="dxa"/>
          </w:tcPr>
          <w:p>
            <w:pPr>
              <w:pStyle w:val="0"/>
              <w:jc w:val="center"/>
            </w:pPr>
            <w:r>
              <w:rPr>
                <w:sz w:val="20"/>
              </w:rPr>
              <w:t xml:space="preserve">Состав размещаемой информации</w:t>
            </w:r>
          </w:p>
        </w:tc>
        <w:tc>
          <w:tcPr>
            <w:tcW w:w="2494" w:type="dxa"/>
          </w:tcPr>
          <w:p>
            <w:pPr>
              <w:pStyle w:val="0"/>
              <w:jc w:val="center"/>
            </w:pPr>
            <w:r>
              <w:rPr>
                <w:sz w:val="20"/>
              </w:rPr>
              <w:t xml:space="preserve">Частота обновления информации</w:t>
            </w:r>
          </w:p>
        </w:tc>
      </w:tr>
      <w:tr>
        <w:tc>
          <w:tcPr>
            <w:tcW w:w="2778" w:type="dxa"/>
          </w:tcPr>
          <w:p>
            <w:pPr>
              <w:pStyle w:val="0"/>
              <w:jc w:val="center"/>
            </w:pPr>
            <w:r>
              <w:rPr>
                <w:sz w:val="20"/>
              </w:rPr>
              <w:t xml:space="preserve">1</w:t>
            </w:r>
          </w:p>
        </w:tc>
        <w:tc>
          <w:tcPr>
            <w:tcW w:w="3798" w:type="dxa"/>
          </w:tcPr>
          <w:p>
            <w:pPr>
              <w:pStyle w:val="0"/>
              <w:jc w:val="center"/>
            </w:pPr>
            <w:r>
              <w:rPr>
                <w:sz w:val="20"/>
              </w:rPr>
              <w:t xml:space="preserve">2</w:t>
            </w:r>
          </w:p>
        </w:tc>
        <w:tc>
          <w:tcPr>
            <w:tcW w:w="2494" w:type="dxa"/>
          </w:tcPr>
          <w:p>
            <w:pPr>
              <w:pStyle w:val="0"/>
              <w:jc w:val="center"/>
            </w:pPr>
            <w:r>
              <w:rPr>
                <w:sz w:val="20"/>
              </w:rPr>
              <w:t xml:space="preserve">3</w:t>
            </w:r>
          </w:p>
        </w:tc>
      </w:tr>
      <w:tr>
        <w:tc>
          <w:tcPr>
            <w:tcW w:w="2778" w:type="dxa"/>
          </w:tcPr>
          <w:p>
            <w:pPr>
              <w:pStyle w:val="0"/>
            </w:pPr>
            <w:r>
              <w:rPr>
                <w:sz w:val="20"/>
              </w:rPr>
            </w:r>
          </w:p>
        </w:tc>
        <w:tc>
          <w:tcPr>
            <w:tcW w:w="3798" w:type="dxa"/>
          </w:tcPr>
          <w:p>
            <w:pPr>
              <w:pStyle w:val="0"/>
            </w:pPr>
            <w:r>
              <w:rPr>
                <w:sz w:val="20"/>
              </w:rPr>
            </w:r>
          </w:p>
        </w:tc>
        <w:tc>
          <w:tcPr>
            <w:tcW w:w="2494" w:type="dxa"/>
          </w:tcPr>
          <w:p>
            <w:pPr>
              <w:pStyle w:val="0"/>
            </w:pPr>
            <w:r>
              <w:rPr>
                <w:sz w:val="20"/>
              </w:rPr>
            </w:r>
          </w:p>
        </w:tc>
      </w:tr>
    </w:tbl>
    <w:p>
      <w:pPr>
        <w:pStyle w:val="0"/>
        <w:jc w:val="both"/>
      </w:pPr>
      <w:r>
        <w:rPr>
          <w:sz w:val="20"/>
        </w:rPr>
      </w:r>
    </w:p>
    <w:p>
      <w:pPr>
        <w:pStyle w:val="0"/>
        <w:outlineLvl w:val="2"/>
        <w:jc w:val="center"/>
      </w:pPr>
      <w:r>
        <w:rPr>
          <w:sz w:val="20"/>
        </w:rPr>
        <w:t xml:space="preserve">Часть II. Сведения о выполняемых работах </w:t>
      </w:r>
      <w:hyperlink w:history="0" w:anchor="P757" w:tooltip="&lt;3&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&lt;3&gt;</w:t>
        </w:r>
      </w:hyperlink>
    </w:p>
    <w:p>
      <w:pPr>
        <w:pStyle w:val="0"/>
        <w:jc w:val="both"/>
      </w:pPr>
      <w:r>
        <w:rPr>
          <w:sz w:val="20"/>
        </w:rPr>
      </w:r>
    </w:p>
    <w:p>
      <w:pPr>
        <w:pStyle w:val="0"/>
        <w:jc w:val="center"/>
      </w:pPr>
      <w:r>
        <w:rPr>
          <w:sz w:val="20"/>
        </w:rPr>
        <w:t xml:space="preserve">Раздел _________</w:t>
      </w:r>
    </w:p>
    <w:p>
      <w:pPr>
        <w:pStyle w:val="0"/>
        <w:jc w:val="both"/>
      </w:pPr>
      <w:r>
        <w:rPr>
          <w:sz w:val="20"/>
        </w:rPr>
      </w:r>
    </w:p>
    <w:tbl>
      <w:tblPr>
        <w:tblInd w:w="0" w:type="dxa"/>
        <w:tblLayout w:type="fixed"/>
        <w:tblBorders>
          <w:right w:val="single" w:sz="4"/>
        </w:tblBorders>
        <w:tblCellMar>
          <w:top w:w="102" w:type="dxa"/>
          <w:left w:w="62" w:type="dxa"/>
          <w:bottom w:w="102" w:type="dxa"/>
          <w:right w:w="62" w:type="dxa"/>
        </w:tblCellMar>
      </w:tblPr>
      <w:tblGrid>
        <w:gridCol w:w="2778"/>
        <w:gridCol w:w="1020"/>
        <w:gridCol w:w="2551"/>
        <w:gridCol w:w="1701"/>
        <w:gridCol w:w="1020"/>
      </w:tblGrid>
      <w:tr>
        <w:tc>
          <w:tcPr>
            <w:gridSpan w:val="3"/>
            <w:tcW w:w="6349" w:type="dxa"/>
            <w:tcBorders>
              <w:top w:val="nil"/>
              <w:left w:val="nil"/>
              <w:bottom w:val="nil"/>
              <w:right w:val="nil"/>
            </w:tcBorders>
          </w:tcPr>
          <w:p>
            <w:pPr>
              <w:pStyle w:val="0"/>
            </w:pPr>
            <w:r>
              <w:rPr>
                <w:sz w:val="20"/>
              </w:rPr>
            </w:r>
          </w:p>
        </w:tc>
        <w:tc>
          <w:tcPr>
            <w:tcW w:w="1701" w:type="dxa"/>
            <w:tcBorders>
              <w:top w:val="nil"/>
              <w:left w:val="nil"/>
              <w:bottom w:val="nil"/>
              <w:right w:val="single" w:sz="4"/>
            </w:tcBorders>
            <w:vMerge w:val="restart"/>
          </w:tcPr>
          <w:p>
            <w:pPr>
              <w:pStyle w:val="0"/>
              <w:jc w:val="right"/>
            </w:pPr>
            <w:r>
              <w:rPr>
                <w:sz w:val="20"/>
              </w:rPr>
              <w:t xml:space="preserve">Код по общероссийскому базовому перечню или региональному перечню</w:t>
            </w:r>
          </w:p>
        </w:tc>
        <w:tc>
          <w:tcPr>
            <w:tcW w:w="1020" w:type="dxa"/>
            <w:tcBorders>
              <w:top w:val="single" w:sz="4"/>
              <w:left w:val="single" w:sz="4"/>
              <w:bottom w:val="single" w:sz="4"/>
              <w:right w:val="single" w:sz="4"/>
            </w:tcBorders>
            <w:vMerge w:val="restart"/>
          </w:tcPr>
          <w:p>
            <w:pPr>
              <w:pStyle w:val="0"/>
            </w:pPr>
            <w:r>
              <w:rPr>
                <w:sz w:val="20"/>
              </w:rPr>
            </w:r>
          </w:p>
        </w:tc>
      </w:tr>
      <w:tr>
        <w:tc>
          <w:tcPr>
            <w:tcW w:w="2778" w:type="dxa"/>
            <w:tcBorders>
              <w:top w:val="nil"/>
              <w:left w:val="nil"/>
              <w:bottom w:val="nil"/>
              <w:right w:val="nil"/>
            </w:tcBorders>
            <w:vMerge w:val="restart"/>
          </w:tcPr>
          <w:p>
            <w:pPr>
              <w:pStyle w:val="0"/>
            </w:pPr>
            <w:r>
              <w:rPr>
                <w:sz w:val="20"/>
              </w:rPr>
              <w:t xml:space="preserve">1. Наименование работы</w:t>
            </w:r>
          </w:p>
        </w:tc>
        <w:tc>
          <w:tcPr>
            <w:gridSpan w:val="2"/>
            <w:tcW w:w="3571" w:type="dxa"/>
            <w:tcBorders>
              <w:top w:val="nil"/>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insideH w:val="single" w:sz="4"/>
          </w:tblBorders>
        </w:tblPrEx>
        <w:tc>
          <w:tcPr>
            <w:tcBorders>
              <w:top w:val="nil"/>
              <w:left w:val="nil"/>
              <w:bottom w:val="nil"/>
              <w:right w:val="nil"/>
            </w:tcBorders>
            <w:vMerge w:val="continue"/>
          </w:tcPr>
          <w:p/>
        </w:tc>
        <w:tc>
          <w:tcPr>
            <w:gridSpan w:val="2"/>
            <w:tcW w:w="3571" w:type="dxa"/>
            <w:tcBorders>
              <w:top w:val="single" w:sz="4"/>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nil"/>
          </w:tblBorders>
        </w:tblPrEx>
        <w:tc>
          <w:tcPr>
            <w:gridSpan w:val="2"/>
            <w:tcW w:w="3798" w:type="dxa"/>
            <w:tcBorders>
              <w:top w:val="nil"/>
              <w:left w:val="nil"/>
              <w:bottom w:val="nil"/>
              <w:right w:val="nil"/>
            </w:tcBorders>
          </w:tcPr>
          <w:p>
            <w:pPr>
              <w:pStyle w:val="0"/>
            </w:pPr>
            <w:r>
              <w:rPr>
                <w:sz w:val="20"/>
              </w:rPr>
              <w:t xml:space="preserve">2. Категории потребителей работы</w:t>
            </w:r>
          </w:p>
        </w:tc>
        <w:tc>
          <w:tcPr>
            <w:tcW w:w="2551" w:type="dxa"/>
            <w:tcBorders>
              <w:top w:val="single" w:sz="4"/>
              <w:left w:val="nil"/>
              <w:bottom w:val="single" w:sz="4"/>
              <w:right w:val="nil"/>
            </w:tcBorders>
          </w:tcPr>
          <w:p>
            <w:pPr>
              <w:pStyle w:val="0"/>
            </w:pPr>
            <w:r>
              <w:rPr>
                <w:sz w:val="20"/>
              </w:rPr>
            </w:r>
          </w:p>
        </w:tc>
        <w:tc>
          <w:tcPr>
            <w:tcW w:w="1701" w:type="dxa"/>
            <w:tcBorders>
              <w:top w:val="nil"/>
              <w:left w:val="nil"/>
              <w:bottom w:val="nil"/>
              <w:right w:val="nil"/>
            </w:tcBorders>
          </w:tcPr>
          <w:p>
            <w:pPr>
              <w:pStyle w:val="0"/>
            </w:pPr>
            <w:r>
              <w:rPr>
                <w:sz w:val="20"/>
              </w:rPr>
            </w:r>
          </w:p>
        </w:tc>
        <w:tc>
          <w:tcPr>
            <w:tcW w:w="1020" w:type="dxa"/>
            <w:tcBorders>
              <w:top w:val="single" w:sz="4"/>
              <w:left w:val="nil"/>
              <w:bottom w:val="nil"/>
              <w:right w:val="nil"/>
            </w:tcBorders>
          </w:tcPr>
          <w:p>
            <w:pPr>
              <w:pStyle w:val="0"/>
            </w:pPr>
            <w:r>
              <w:rPr>
                <w:sz w:val="20"/>
              </w:rPr>
            </w:r>
          </w:p>
        </w:tc>
      </w:tr>
      <w:tr>
        <w:tblPrEx>
          <w:tblBorders>
            <w:right w:val="nil"/>
          </w:tblBorders>
        </w:tblPrEx>
        <w:tc>
          <w:tcPr>
            <w:gridSpan w:val="2"/>
            <w:tcW w:w="3798" w:type="dxa"/>
            <w:tcBorders>
              <w:top w:val="nil"/>
              <w:left w:val="nil"/>
              <w:bottom w:val="nil"/>
              <w:right w:val="nil"/>
            </w:tcBorders>
          </w:tcPr>
          <w:p>
            <w:pPr>
              <w:pStyle w:val="0"/>
            </w:pPr>
            <w:r>
              <w:rPr>
                <w:sz w:val="20"/>
              </w:rPr>
            </w:r>
          </w:p>
        </w:tc>
        <w:tc>
          <w:tcPr>
            <w:tcW w:w="2551" w:type="dxa"/>
            <w:tcBorders>
              <w:top w:val="single" w:sz="4"/>
              <w:left w:val="nil"/>
              <w:bottom w:val="single" w:sz="4"/>
              <w:right w:val="nil"/>
            </w:tcBorders>
          </w:tcPr>
          <w:p>
            <w:pPr>
              <w:pStyle w:val="0"/>
            </w:pPr>
            <w:r>
              <w:rPr>
                <w:sz w:val="20"/>
              </w:rPr>
            </w:r>
          </w:p>
        </w:tc>
        <w:tc>
          <w:tcPr>
            <w:tcW w:w="1701" w:type="dxa"/>
            <w:tcBorders>
              <w:top w:val="nil"/>
              <w:left w:val="nil"/>
              <w:bottom w:val="nil"/>
              <w:right w:val="nil"/>
            </w:tcBorders>
          </w:tcPr>
          <w:p>
            <w:pPr>
              <w:pStyle w:val="0"/>
            </w:pPr>
            <w:r>
              <w:rPr>
                <w:sz w:val="20"/>
              </w:rPr>
            </w:r>
          </w:p>
        </w:tc>
        <w:tc>
          <w:tcPr>
            <w:tcW w:w="1020"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Показатели, характеризующие объем и (или) качество работы</w:t>
      </w:r>
    </w:p>
    <w:p>
      <w:pPr>
        <w:pStyle w:val="0"/>
        <w:jc w:val="both"/>
      </w:pPr>
      <w:r>
        <w:rPr>
          <w:sz w:val="20"/>
        </w:rPr>
      </w:r>
    </w:p>
    <w:p>
      <w:pPr>
        <w:pStyle w:val="0"/>
        <w:jc w:val="both"/>
      </w:pPr>
      <w:r>
        <w:rPr>
          <w:sz w:val="20"/>
        </w:rPr>
        <w:t xml:space="preserve">3.1. Показатели, характеризующие качество работы </w:t>
      </w:r>
      <w:hyperlink w:history="0" w:anchor="P758" w:tooltip="&lt;4&gt; Заполняется в соответствии с показателями, характеризующими качество услуг (работ), установленными в общероссийском базовом перечне или региональном перечне, а при их отсутствии или в дополнение к ним - показателями, характеризующими качество, установленными при необходимост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ого каз...">
        <w:r>
          <w:rPr>
            <w:sz w:val="20"/>
            <w:color w:val="0000ff"/>
          </w:rPr>
          <w:t xml:space="preserve">&lt;4&gt;</w:t>
        </w:r>
      </w:hyperlink>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1029"/>
        <w:gridCol w:w="1029"/>
        <w:gridCol w:w="1029"/>
        <w:gridCol w:w="1029"/>
        <w:gridCol w:w="1029"/>
        <w:gridCol w:w="1032"/>
        <w:gridCol w:w="850"/>
        <w:gridCol w:w="769"/>
        <w:gridCol w:w="1020"/>
        <w:gridCol w:w="1191"/>
        <w:gridCol w:w="1191"/>
        <w:gridCol w:w="680"/>
        <w:gridCol w:w="850"/>
      </w:tblGrid>
      <w:tr>
        <w:tc>
          <w:tcPr>
            <w:tcW w:w="850"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87" w:type="dxa"/>
            <w:vAlign w:val="center"/>
          </w:tcPr>
          <w:p>
            <w:pPr>
              <w:pStyle w:val="0"/>
              <w:jc w:val="center"/>
            </w:pPr>
            <w:r>
              <w:rPr>
                <w:sz w:val="20"/>
              </w:rPr>
              <w:t xml:space="preserve">Показатель, характеризующий содержание работы (по справочникам)</w:t>
            </w:r>
          </w:p>
        </w:tc>
        <w:tc>
          <w:tcPr>
            <w:gridSpan w:val="2"/>
            <w:tcW w:w="2058" w:type="dxa"/>
          </w:tcPr>
          <w:p>
            <w:pPr>
              <w:pStyle w:val="0"/>
              <w:jc w:val="center"/>
            </w:pPr>
            <w:r>
              <w:rPr>
                <w:sz w:val="20"/>
              </w:rPr>
              <w:t xml:space="preserve">Показатель, характеризующий условия (формы) выполнения работы (по справочникам)</w:t>
            </w:r>
          </w:p>
        </w:tc>
        <w:tc>
          <w:tcPr>
            <w:gridSpan w:val="3"/>
            <w:tcW w:w="2651" w:type="dxa"/>
          </w:tcPr>
          <w:p>
            <w:pPr>
              <w:pStyle w:val="0"/>
              <w:jc w:val="center"/>
            </w:pPr>
            <w:r>
              <w:rPr>
                <w:sz w:val="20"/>
              </w:rPr>
              <w:t xml:space="preserve">Показатель качества работы</w:t>
            </w:r>
          </w:p>
        </w:tc>
        <w:tc>
          <w:tcPr>
            <w:gridSpan w:val="3"/>
            <w:tcW w:w="3402" w:type="dxa"/>
          </w:tcPr>
          <w:p>
            <w:pPr>
              <w:pStyle w:val="0"/>
              <w:jc w:val="center"/>
            </w:pPr>
            <w:r>
              <w:rPr>
                <w:sz w:val="20"/>
              </w:rPr>
              <w:t xml:space="preserve">Значение показателя качества работы</w:t>
            </w:r>
          </w:p>
        </w:tc>
        <w:tc>
          <w:tcPr>
            <w:gridSpan w:val="2"/>
            <w:tcW w:w="1530" w:type="dxa"/>
          </w:tcPr>
          <w:p>
            <w:pPr>
              <w:pStyle w:val="0"/>
              <w:jc w:val="center"/>
            </w:pPr>
            <w:r>
              <w:rPr>
                <w:sz w:val="20"/>
              </w:rPr>
              <w:t xml:space="preserve">Допустимые (возможные) отклонения от установленных показателей качества работы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gridSpan w:val="2"/>
            <w:tcW w:w="1619" w:type="dxa"/>
          </w:tcPr>
          <w:p>
            <w:pPr>
              <w:pStyle w:val="0"/>
              <w:jc w:val="center"/>
            </w:pPr>
            <w:r>
              <w:rPr>
                <w:sz w:val="20"/>
              </w:rPr>
              <w:t xml:space="preserve">Единица измерения</w:t>
            </w:r>
          </w:p>
        </w:tc>
        <w:tc>
          <w:tcPr>
            <w:tcW w:w="1020"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1191"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1191"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29" w:type="dxa"/>
          </w:tcPr>
          <w:p>
            <w:pPr>
              <w:pStyle w:val="0"/>
              <w:jc w:val="center"/>
            </w:pPr>
            <w:r>
              <w:rPr>
                <w:sz w:val="20"/>
              </w:rPr>
              <w:t xml:space="preserve">(наименование показателя) &lt;5&gt;</w:t>
            </w:r>
          </w:p>
        </w:tc>
        <w:tc>
          <w:tcPr>
            <w:tcW w:w="1032" w:type="dxa"/>
          </w:tcPr>
          <w:p>
            <w:pPr>
              <w:pStyle w:val="0"/>
              <w:jc w:val="center"/>
            </w:pPr>
            <w:r>
              <w:rPr>
                <w:sz w:val="20"/>
              </w:rPr>
              <w:t xml:space="preserve">(наименование показателя) &lt;5&gt;</w:t>
            </w:r>
          </w:p>
        </w:tc>
        <w:tc>
          <w:tcPr>
            <w:tcW w:w="850"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4"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vMerge w:val="continue"/>
          </w:tcPr>
          <w:p/>
        </w:tc>
        <w:tc>
          <w:tcPr>
            <w:vMerge w:val="continue"/>
          </w:tcPr>
          <w:p/>
        </w:tc>
        <w:tc>
          <w:tcPr>
            <w:vMerge w:val="continue"/>
          </w:tcPr>
          <w:p/>
        </w:tc>
        <w:tc>
          <w:tcPr>
            <w:vMerge w:val="continue"/>
          </w:tcPr>
          <w:p/>
        </w:tc>
        <w:tc>
          <w:tcPr>
            <w:vMerge w:val="continue"/>
          </w:tcPr>
          <w:p/>
        </w:tc>
      </w:tr>
      <w:tr>
        <w:tc>
          <w:tcPr>
            <w:tcW w:w="850" w:type="dxa"/>
          </w:tcPr>
          <w:p>
            <w:pPr>
              <w:pStyle w:val="0"/>
              <w:jc w:val="center"/>
            </w:pPr>
            <w:r>
              <w:rPr>
                <w:sz w:val="20"/>
              </w:rPr>
              <w:t xml:space="preserve">1</w:t>
            </w:r>
          </w:p>
        </w:tc>
        <w:tc>
          <w:tcPr>
            <w:tcW w:w="1029" w:type="dxa"/>
          </w:tcPr>
          <w:p>
            <w:pPr>
              <w:pStyle w:val="0"/>
              <w:jc w:val="center"/>
            </w:pPr>
            <w:r>
              <w:rPr>
                <w:sz w:val="20"/>
              </w:rPr>
              <w:t xml:space="preserve">2</w:t>
            </w:r>
          </w:p>
        </w:tc>
        <w:tc>
          <w:tcPr>
            <w:tcW w:w="1029" w:type="dxa"/>
          </w:tcPr>
          <w:p>
            <w:pPr>
              <w:pStyle w:val="0"/>
              <w:jc w:val="center"/>
            </w:pPr>
            <w:r>
              <w:rPr>
                <w:sz w:val="20"/>
              </w:rPr>
              <w:t xml:space="preserve">3</w:t>
            </w:r>
          </w:p>
        </w:tc>
        <w:tc>
          <w:tcPr>
            <w:tcW w:w="1029" w:type="dxa"/>
          </w:tcPr>
          <w:p>
            <w:pPr>
              <w:pStyle w:val="0"/>
              <w:jc w:val="center"/>
            </w:pPr>
            <w:r>
              <w:rPr>
                <w:sz w:val="20"/>
              </w:rPr>
              <w:t xml:space="preserve">4</w:t>
            </w:r>
          </w:p>
        </w:tc>
        <w:tc>
          <w:tcPr>
            <w:tcW w:w="1029" w:type="dxa"/>
          </w:tcPr>
          <w:p>
            <w:pPr>
              <w:pStyle w:val="0"/>
              <w:jc w:val="center"/>
            </w:pPr>
            <w:r>
              <w:rPr>
                <w:sz w:val="20"/>
              </w:rPr>
              <w:t xml:space="preserve">5</w:t>
            </w:r>
          </w:p>
        </w:tc>
        <w:tc>
          <w:tcPr>
            <w:tcW w:w="1029" w:type="dxa"/>
          </w:tcPr>
          <w:p>
            <w:pPr>
              <w:pStyle w:val="0"/>
              <w:jc w:val="center"/>
            </w:pPr>
            <w:r>
              <w:rPr>
                <w:sz w:val="20"/>
              </w:rPr>
              <w:t xml:space="preserve">6</w:t>
            </w:r>
          </w:p>
        </w:tc>
        <w:tc>
          <w:tcPr>
            <w:tcW w:w="1032" w:type="dxa"/>
          </w:tcPr>
          <w:p>
            <w:pPr>
              <w:pStyle w:val="0"/>
              <w:jc w:val="center"/>
            </w:pPr>
            <w:r>
              <w:rPr>
                <w:sz w:val="20"/>
              </w:rPr>
              <w:t xml:space="preserve">7</w:t>
            </w:r>
          </w:p>
        </w:tc>
        <w:tc>
          <w:tcPr>
            <w:tcW w:w="850"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91" w:type="dxa"/>
          </w:tcPr>
          <w:p>
            <w:pPr>
              <w:pStyle w:val="0"/>
              <w:jc w:val="center"/>
            </w:pPr>
            <w:r>
              <w:rPr>
                <w:sz w:val="20"/>
              </w:rPr>
              <w:t xml:space="preserve">11</w:t>
            </w:r>
          </w:p>
        </w:tc>
        <w:tc>
          <w:tcPr>
            <w:tcW w:w="1191" w:type="dxa"/>
          </w:tcPr>
          <w:p>
            <w:pPr>
              <w:pStyle w:val="0"/>
              <w:jc w:val="center"/>
            </w:pPr>
            <w:r>
              <w:rPr>
                <w:sz w:val="20"/>
              </w:rPr>
              <w:t xml:space="preserve">12</w:t>
            </w:r>
          </w:p>
        </w:tc>
        <w:tc>
          <w:tcPr>
            <w:tcW w:w="680" w:type="dxa"/>
          </w:tcPr>
          <w:p>
            <w:pPr>
              <w:pStyle w:val="0"/>
              <w:jc w:val="center"/>
            </w:pPr>
            <w:r>
              <w:rPr>
                <w:sz w:val="20"/>
              </w:rPr>
              <w:t xml:space="preserve">13</w:t>
            </w:r>
          </w:p>
        </w:tc>
        <w:tc>
          <w:tcPr>
            <w:tcW w:w="850" w:type="dxa"/>
          </w:tcPr>
          <w:p>
            <w:pPr>
              <w:pStyle w:val="0"/>
              <w:jc w:val="center"/>
            </w:pPr>
            <w:r>
              <w:rPr>
                <w:sz w:val="20"/>
              </w:rPr>
              <w:t xml:space="preserve">14</w:t>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850"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29" w:type="dxa"/>
          </w:tcPr>
          <w:p>
            <w:pPr>
              <w:pStyle w:val="0"/>
            </w:pPr>
            <w:r>
              <w:rPr>
                <w:sz w:val="20"/>
              </w:rPr>
            </w:r>
          </w:p>
        </w:tc>
        <w:tc>
          <w:tcPr>
            <w:tcW w:w="1032" w:type="dxa"/>
          </w:tcPr>
          <w:p>
            <w:pPr>
              <w:pStyle w:val="0"/>
            </w:pPr>
            <w:r>
              <w:rPr>
                <w:sz w:val="20"/>
              </w:rPr>
            </w:r>
          </w:p>
        </w:tc>
        <w:tc>
          <w:tcPr>
            <w:tcW w:w="850"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91"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pStyle w:val="0"/>
        <w:jc w:val="both"/>
      </w:pPr>
      <w:r>
        <w:rPr>
          <w:sz w:val="20"/>
        </w:rPr>
      </w:r>
    </w:p>
    <w:p>
      <w:pPr>
        <w:pStyle w:val="0"/>
      </w:pPr>
      <w:r>
        <w:rPr>
          <w:sz w:val="20"/>
        </w:rPr>
        <w:t xml:space="preserve">3.2. Показатели, характеризующие объем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1026"/>
        <w:gridCol w:w="1026"/>
        <w:gridCol w:w="1026"/>
        <w:gridCol w:w="1026"/>
        <w:gridCol w:w="1026"/>
        <w:gridCol w:w="1028"/>
        <w:gridCol w:w="838"/>
        <w:gridCol w:w="769"/>
        <w:gridCol w:w="624"/>
        <w:gridCol w:w="819"/>
        <w:gridCol w:w="819"/>
        <w:gridCol w:w="825"/>
        <w:gridCol w:w="819"/>
        <w:gridCol w:w="737"/>
        <w:gridCol w:w="822"/>
        <w:gridCol w:w="680"/>
        <w:gridCol w:w="850"/>
      </w:tblGrid>
      <w:tr>
        <w:tc>
          <w:tcPr>
            <w:tcW w:w="1077" w:type="dxa"/>
            <w:vMerge w:val="restart"/>
          </w:tcPr>
          <w:p>
            <w:pPr>
              <w:pStyle w:val="0"/>
              <w:jc w:val="center"/>
            </w:pPr>
            <w:r>
              <w:rPr>
                <w:sz w:val="20"/>
              </w:rPr>
              <w:t xml:space="preserve">Уникальный номер реестровой записи </w:t>
            </w:r>
            <w:hyperlink w:history="0" w:anchor="P759" w:tooltip="&lt;5&gt; Заполняется в соответствии с общероссийскими базовыми перечнями или региональными перечнями.">
              <w:r>
                <w:rPr>
                  <w:sz w:val="20"/>
                  <w:color w:val="0000ff"/>
                </w:rPr>
                <w:t xml:space="preserve">&lt;5&gt;</w:t>
              </w:r>
            </w:hyperlink>
          </w:p>
        </w:tc>
        <w:tc>
          <w:tcPr>
            <w:gridSpan w:val="3"/>
            <w:tcW w:w="3078" w:type="dxa"/>
            <w:vAlign w:val="center"/>
          </w:tcPr>
          <w:p>
            <w:pPr>
              <w:pStyle w:val="0"/>
              <w:jc w:val="center"/>
            </w:pPr>
            <w:r>
              <w:rPr>
                <w:sz w:val="20"/>
              </w:rPr>
              <w:t xml:space="preserve">Показатель, характеризующий содержание работы (по справочникам)</w:t>
            </w:r>
          </w:p>
        </w:tc>
        <w:tc>
          <w:tcPr>
            <w:gridSpan w:val="2"/>
            <w:tcW w:w="2052" w:type="dxa"/>
          </w:tcPr>
          <w:p>
            <w:pPr>
              <w:pStyle w:val="0"/>
              <w:jc w:val="center"/>
            </w:pPr>
            <w:r>
              <w:rPr>
                <w:sz w:val="20"/>
              </w:rPr>
              <w:t xml:space="preserve">Показатель, характеризующий условия (формы) выполнения работы (по справочникам)</w:t>
            </w:r>
          </w:p>
        </w:tc>
        <w:tc>
          <w:tcPr>
            <w:gridSpan w:val="4"/>
            <w:tcW w:w="3259" w:type="dxa"/>
          </w:tcPr>
          <w:p>
            <w:pPr>
              <w:pStyle w:val="0"/>
              <w:jc w:val="center"/>
            </w:pPr>
            <w:r>
              <w:rPr>
                <w:sz w:val="20"/>
              </w:rPr>
              <w:t xml:space="preserve">Показатель объема работы</w:t>
            </w:r>
          </w:p>
        </w:tc>
        <w:tc>
          <w:tcPr>
            <w:gridSpan w:val="3"/>
            <w:tcW w:w="2463" w:type="dxa"/>
          </w:tcPr>
          <w:p>
            <w:pPr>
              <w:pStyle w:val="0"/>
              <w:jc w:val="center"/>
            </w:pPr>
            <w:r>
              <w:rPr>
                <w:sz w:val="20"/>
              </w:rPr>
              <w:t xml:space="preserve">Значение показателя качества работы</w:t>
            </w:r>
          </w:p>
        </w:tc>
        <w:tc>
          <w:tcPr>
            <w:gridSpan w:val="3"/>
            <w:tcW w:w="2378" w:type="dxa"/>
          </w:tcPr>
          <w:p>
            <w:pPr>
              <w:pStyle w:val="0"/>
              <w:jc w:val="center"/>
            </w:pPr>
            <w:r>
              <w:rPr>
                <w:sz w:val="20"/>
              </w:rPr>
              <w:t xml:space="preserve">Размер платы (цена, тариф) </w:t>
            </w:r>
            <w:hyperlink w:history="0" w:anchor="P762" w:tooltip="&lt;8&gt; Заполняется в случае, если оказание услуг (выполнение работ) осуществляется на платной основе в соответствии с законодательством Российской Федерации в рамках муниципального задания. При оказании услуг (выполнении работ) на платной основе сверх установленного муниципального задания указанный показатель не формируется.">
              <w:r>
                <w:rPr>
                  <w:sz w:val="20"/>
                  <w:color w:val="0000ff"/>
                </w:rPr>
                <w:t xml:space="preserve">&lt;8&gt;</w:t>
              </w:r>
            </w:hyperlink>
          </w:p>
        </w:tc>
        <w:tc>
          <w:tcPr>
            <w:gridSpan w:val="2"/>
            <w:tcW w:w="1530" w:type="dxa"/>
          </w:tcPr>
          <w:p>
            <w:pPr>
              <w:pStyle w:val="0"/>
              <w:jc w:val="center"/>
            </w:pPr>
            <w:r>
              <w:rPr>
                <w:sz w:val="20"/>
              </w:rPr>
              <w:t xml:space="preserve">Допустимые (возможные) отклонения от установленных показателей качества работы </w:t>
            </w:r>
            <w:hyperlink w:history="0" w:anchor="P761" w:tooltip="&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
              <w:r>
                <w:rPr>
                  <w:sz w:val="20"/>
                  <w:color w:val="0000ff"/>
                </w:rPr>
                <w:t xml:space="preserve">&lt;7&gt;</w:t>
              </w:r>
            </w:hyperlink>
          </w:p>
        </w:tc>
      </w:tr>
      <w:tr>
        <w:tc>
          <w:tcPr>
            <w:vMerge w:val="continue"/>
          </w:tcP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gridSpan w:val="3"/>
            <w:tcW w:w="2231" w:type="dxa"/>
          </w:tcPr>
          <w:p>
            <w:pPr>
              <w:pStyle w:val="0"/>
              <w:jc w:val="center"/>
            </w:pPr>
            <w:r>
              <w:rPr>
                <w:sz w:val="20"/>
              </w:rPr>
              <w:t xml:space="preserve">Единица измерения</w:t>
            </w:r>
          </w:p>
        </w:tc>
        <w:tc>
          <w:tcPr>
            <w:tcW w:w="819"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819"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825"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819" w:type="dxa"/>
            <w:vMerge w:val="restart"/>
          </w:tcPr>
          <w:p>
            <w:pPr>
              <w:pStyle w:val="0"/>
              <w:jc w:val="center"/>
            </w:pPr>
            <w:r>
              <w:rPr>
                <w:sz w:val="20"/>
              </w:rPr>
              <w:t xml:space="preserve">20__ год</w:t>
            </w:r>
          </w:p>
          <w:p>
            <w:pPr>
              <w:pStyle w:val="0"/>
              <w:jc w:val="center"/>
            </w:pPr>
            <w:r>
              <w:rPr>
                <w:sz w:val="20"/>
              </w:rPr>
              <w:t xml:space="preserve">(очередной финансовый год)</w:t>
            </w:r>
          </w:p>
        </w:tc>
        <w:tc>
          <w:tcPr>
            <w:tcW w:w="737" w:type="dxa"/>
            <w:vMerge w:val="restart"/>
          </w:tcPr>
          <w:p>
            <w:pPr>
              <w:pStyle w:val="0"/>
              <w:jc w:val="center"/>
            </w:pPr>
            <w:r>
              <w:rPr>
                <w:sz w:val="20"/>
              </w:rPr>
              <w:t xml:space="preserve">20__ год</w:t>
            </w:r>
          </w:p>
          <w:p>
            <w:pPr>
              <w:pStyle w:val="0"/>
              <w:jc w:val="center"/>
            </w:pPr>
            <w:r>
              <w:rPr>
                <w:sz w:val="20"/>
              </w:rPr>
              <w:t xml:space="preserve">(1-й год планового периода)</w:t>
            </w:r>
          </w:p>
        </w:tc>
        <w:tc>
          <w:tcPr>
            <w:tcW w:w="822" w:type="dxa"/>
            <w:vMerge w:val="restart"/>
          </w:tcPr>
          <w:p>
            <w:pPr>
              <w:pStyle w:val="0"/>
              <w:jc w:val="center"/>
            </w:pPr>
            <w:r>
              <w:rPr>
                <w:sz w:val="20"/>
              </w:rPr>
              <w:t xml:space="preserve">20__ год</w:t>
            </w:r>
          </w:p>
          <w:p>
            <w:pPr>
              <w:pStyle w:val="0"/>
              <w:jc w:val="center"/>
            </w:pPr>
            <w:r>
              <w:rPr>
                <w:sz w:val="20"/>
              </w:rPr>
              <w:t xml:space="preserve">(2-й год планового периода)</w:t>
            </w:r>
          </w:p>
        </w:tc>
        <w:tc>
          <w:tcPr>
            <w:tcW w:w="680" w:type="dxa"/>
            <w:vMerge w:val="restart"/>
          </w:tcPr>
          <w:p>
            <w:pPr>
              <w:pStyle w:val="0"/>
              <w:jc w:val="center"/>
            </w:pPr>
            <w:r>
              <w:rPr>
                <w:sz w:val="20"/>
              </w:rPr>
              <w:t xml:space="preserve">в процентах</w:t>
            </w:r>
          </w:p>
        </w:tc>
        <w:tc>
          <w:tcPr>
            <w:tcW w:w="850" w:type="dxa"/>
            <w:vMerge w:val="restart"/>
          </w:tcPr>
          <w:p>
            <w:pPr>
              <w:pStyle w:val="0"/>
              <w:jc w:val="center"/>
            </w:pPr>
            <w:r>
              <w:rPr>
                <w:sz w:val="20"/>
              </w:rPr>
              <w:t xml:space="preserve">в абсолютных показателях</w:t>
            </w:r>
          </w:p>
        </w:tc>
      </w:tr>
      <w:tr>
        <w:tc>
          <w:tcPr>
            <w:vMerge w:val="continue"/>
          </w:tcP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6" w:type="dxa"/>
          </w:tcPr>
          <w:p>
            <w:pPr>
              <w:pStyle w:val="0"/>
              <w:jc w:val="center"/>
            </w:pPr>
            <w:r>
              <w:rPr>
                <w:sz w:val="20"/>
              </w:rPr>
              <w:t xml:space="preserve">(наименование показателя) &lt;5&gt;</w:t>
            </w:r>
          </w:p>
        </w:tc>
        <w:tc>
          <w:tcPr>
            <w:tcW w:w="1028" w:type="dxa"/>
          </w:tcPr>
          <w:p>
            <w:pPr>
              <w:pStyle w:val="0"/>
              <w:jc w:val="center"/>
            </w:pPr>
            <w:r>
              <w:rPr>
                <w:sz w:val="20"/>
              </w:rPr>
              <w:t xml:space="preserve">(наименование показателя) &lt;5&gt;</w:t>
            </w:r>
          </w:p>
        </w:tc>
        <w:tc>
          <w:tcPr>
            <w:tcW w:w="838" w:type="dxa"/>
          </w:tcPr>
          <w:p>
            <w:pPr>
              <w:pStyle w:val="0"/>
              <w:jc w:val="center"/>
            </w:pPr>
            <w:r>
              <w:rPr>
                <w:sz w:val="20"/>
              </w:rPr>
              <w:t xml:space="preserve">наименование &lt;5&gt;</w:t>
            </w:r>
          </w:p>
        </w:tc>
        <w:tc>
          <w:tcPr>
            <w:tcW w:w="769" w:type="dxa"/>
          </w:tcPr>
          <w:p>
            <w:pPr>
              <w:pStyle w:val="0"/>
              <w:jc w:val="center"/>
            </w:pPr>
            <w:r>
              <w:rPr>
                <w:sz w:val="20"/>
              </w:rPr>
              <w:t xml:space="preserve">Код по </w:t>
            </w:r>
            <w:hyperlink w:history="0" r:id="rId25"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w:t>
            </w:r>
            <w:hyperlink w:history="0" w:anchor="P760" w:tooltip="&lt;6&gt; Заполняется в соответствии с кодом, указанным в общероссийском базовом перечне или региональном перечне (при наличии).">
              <w:r>
                <w:rPr>
                  <w:sz w:val="20"/>
                  <w:color w:val="0000ff"/>
                </w:rPr>
                <w:t xml:space="preserve">&lt;6&gt;</w:t>
              </w:r>
            </w:hyperlink>
          </w:p>
        </w:tc>
        <w:tc>
          <w:tcPr>
            <w:tcW w:w="624" w:type="dxa"/>
          </w:tcPr>
          <w:p>
            <w:pPr>
              <w:pStyle w:val="0"/>
              <w:jc w:val="center"/>
            </w:pPr>
            <w:r>
              <w:rPr>
                <w:sz w:val="20"/>
              </w:rPr>
              <w:t xml:space="preserve">описание работы</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077" w:type="dxa"/>
          </w:tcPr>
          <w:p>
            <w:pPr>
              <w:pStyle w:val="0"/>
              <w:jc w:val="center"/>
            </w:pPr>
            <w:r>
              <w:rPr>
                <w:sz w:val="20"/>
              </w:rPr>
              <w:t xml:space="preserve">1</w:t>
            </w:r>
          </w:p>
        </w:tc>
        <w:tc>
          <w:tcPr>
            <w:tcW w:w="1026" w:type="dxa"/>
          </w:tcPr>
          <w:p>
            <w:pPr>
              <w:pStyle w:val="0"/>
              <w:jc w:val="center"/>
            </w:pPr>
            <w:r>
              <w:rPr>
                <w:sz w:val="20"/>
              </w:rPr>
              <w:t xml:space="preserve">2</w:t>
            </w:r>
          </w:p>
        </w:tc>
        <w:tc>
          <w:tcPr>
            <w:tcW w:w="1026" w:type="dxa"/>
          </w:tcPr>
          <w:p>
            <w:pPr>
              <w:pStyle w:val="0"/>
              <w:jc w:val="center"/>
            </w:pPr>
            <w:r>
              <w:rPr>
                <w:sz w:val="20"/>
              </w:rPr>
              <w:t xml:space="preserve">3</w:t>
            </w:r>
          </w:p>
        </w:tc>
        <w:tc>
          <w:tcPr>
            <w:tcW w:w="1026" w:type="dxa"/>
          </w:tcPr>
          <w:p>
            <w:pPr>
              <w:pStyle w:val="0"/>
              <w:jc w:val="center"/>
            </w:pPr>
            <w:r>
              <w:rPr>
                <w:sz w:val="20"/>
              </w:rPr>
              <w:t xml:space="preserve">4</w:t>
            </w:r>
          </w:p>
        </w:tc>
        <w:tc>
          <w:tcPr>
            <w:tcW w:w="1026" w:type="dxa"/>
          </w:tcPr>
          <w:p>
            <w:pPr>
              <w:pStyle w:val="0"/>
              <w:jc w:val="center"/>
            </w:pPr>
            <w:r>
              <w:rPr>
                <w:sz w:val="20"/>
              </w:rPr>
              <w:t xml:space="preserve">5</w:t>
            </w:r>
          </w:p>
        </w:tc>
        <w:tc>
          <w:tcPr>
            <w:tcW w:w="1026" w:type="dxa"/>
          </w:tcPr>
          <w:p>
            <w:pPr>
              <w:pStyle w:val="0"/>
              <w:jc w:val="center"/>
            </w:pPr>
            <w:r>
              <w:rPr>
                <w:sz w:val="20"/>
              </w:rPr>
              <w:t xml:space="preserve">6</w:t>
            </w:r>
          </w:p>
        </w:tc>
        <w:tc>
          <w:tcPr>
            <w:tcW w:w="1028" w:type="dxa"/>
          </w:tcPr>
          <w:p>
            <w:pPr>
              <w:pStyle w:val="0"/>
              <w:jc w:val="center"/>
            </w:pPr>
            <w:r>
              <w:rPr>
                <w:sz w:val="20"/>
              </w:rPr>
              <w:t xml:space="preserve">7</w:t>
            </w:r>
          </w:p>
        </w:tc>
        <w:tc>
          <w:tcPr>
            <w:tcW w:w="838" w:type="dxa"/>
          </w:tcPr>
          <w:p>
            <w:pPr>
              <w:pStyle w:val="0"/>
              <w:jc w:val="center"/>
            </w:pPr>
            <w:r>
              <w:rPr>
                <w:sz w:val="20"/>
              </w:rPr>
              <w:t xml:space="preserve">8</w:t>
            </w:r>
          </w:p>
        </w:tc>
        <w:tc>
          <w:tcPr>
            <w:tcW w:w="769" w:type="dxa"/>
          </w:tcPr>
          <w:p>
            <w:pPr>
              <w:pStyle w:val="0"/>
              <w:jc w:val="center"/>
            </w:pPr>
            <w:r>
              <w:rPr>
                <w:sz w:val="20"/>
              </w:rPr>
              <w:t xml:space="preserve">9</w:t>
            </w:r>
          </w:p>
        </w:tc>
        <w:tc>
          <w:tcPr>
            <w:tcW w:w="624" w:type="dxa"/>
          </w:tcPr>
          <w:p>
            <w:pPr>
              <w:pStyle w:val="0"/>
              <w:jc w:val="center"/>
            </w:pPr>
            <w:r>
              <w:rPr>
                <w:sz w:val="20"/>
              </w:rPr>
              <w:t xml:space="preserve">10</w:t>
            </w:r>
          </w:p>
        </w:tc>
        <w:tc>
          <w:tcPr>
            <w:tcW w:w="819" w:type="dxa"/>
          </w:tcPr>
          <w:p>
            <w:pPr>
              <w:pStyle w:val="0"/>
              <w:jc w:val="center"/>
            </w:pPr>
            <w:r>
              <w:rPr>
                <w:sz w:val="20"/>
              </w:rPr>
              <w:t xml:space="preserve">11</w:t>
            </w:r>
          </w:p>
        </w:tc>
        <w:tc>
          <w:tcPr>
            <w:tcW w:w="819" w:type="dxa"/>
          </w:tcPr>
          <w:p>
            <w:pPr>
              <w:pStyle w:val="0"/>
              <w:jc w:val="center"/>
            </w:pPr>
            <w:r>
              <w:rPr>
                <w:sz w:val="20"/>
              </w:rPr>
              <w:t xml:space="preserve">12</w:t>
            </w:r>
          </w:p>
        </w:tc>
        <w:tc>
          <w:tcPr>
            <w:tcW w:w="825" w:type="dxa"/>
          </w:tcPr>
          <w:p>
            <w:pPr>
              <w:pStyle w:val="0"/>
              <w:jc w:val="center"/>
            </w:pPr>
            <w:r>
              <w:rPr>
                <w:sz w:val="20"/>
              </w:rPr>
              <w:t xml:space="preserve">13</w:t>
            </w:r>
          </w:p>
        </w:tc>
        <w:tc>
          <w:tcPr>
            <w:tcW w:w="819" w:type="dxa"/>
          </w:tcPr>
          <w:p>
            <w:pPr>
              <w:pStyle w:val="0"/>
              <w:jc w:val="center"/>
            </w:pPr>
            <w:r>
              <w:rPr>
                <w:sz w:val="20"/>
              </w:rPr>
              <w:t xml:space="preserve">14</w:t>
            </w:r>
          </w:p>
        </w:tc>
        <w:tc>
          <w:tcPr>
            <w:tcW w:w="737" w:type="dxa"/>
          </w:tcPr>
          <w:p>
            <w:pPr>
              <w:pStyle w:val="0"/>
              <w:jc w:val="center"/>
            </w:pPr>
            <w:r>
              <w:rPr>
                <w:sz w:val="20"/>
              </w:rPr>
              <w:t xml:space="preserve">15</w:t>
            </w:r>
          </w:p>
        </w:tc>
        <w:tc>
          <w:tcPr>
            <w:tcW w:w="822" w:type="dxa"/>
          </w:tcPr>
          <w:p>
            <w:pPr>
              <w:pStyle w:val="0"/>
              <w:jc w:val="center"/>
            </w:pPr>
            <w:r>
              <w:rPr>
                <w:sz w:val="20"/>
              </w:rPr>
              <w:t xml:space="preserve">16</w:t>
            </w:r>
          </w:p>
        </w:tc>
        <w:tc>
          <w:tcPr>
            <w:tcW w:w="680" w:type="dxa"/>
          </w:tcPr>
          <w:p>
            <w:pPr>
              <w:pStyle w:val="0"/>
              <w:jc w:val="center"/>
            </w:pPr>
            <w:r>
              <w:rPr>
                <w:sz w:val="20"/>
              </w:rPr>
              <w:t xml:space="preserve">17</w:t>
            </w:r>
          </w:p>
        </w:tc>
        <w:tc>
          <w:tcPr>
            <w:tcW w:w="850" w:type="dxa"/>
          </w:tcPr>
          <w:p>
            <w:pPr>
              <w:pStyle w:val="0"/>
              <w:jc w:val="center"/>
            </w:pPr>
            <w:r>
              <w:rPr>
                <w:sz w:val="20"/>
              </w:rPr>
              <w:t xml:space="preserve">18</w:t>
            </w:r>
          </w:p>
        </w:tc>
      </w:tr>
      <w:tr>
        <w:tc>
          <w:tcPr>
            <w:tcW w:w="1077"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tcW w:w="838" w:type="dxa"/>
          </w:tcPr>
          <w:p>
            <w:pPr>
              <w:pStyle w:val="0"/>
            </w:pPr>
            <w:r>
              <w:rPr>
                <w:sz w:val="20"/>
              </w:rPr>
            </w:r>
          </w:p>
        </w:tc>
        <w:tc>
          <w:tcPr>
            <w:tcW w:w="769" w:type="dxa"/>
          </w:tcPr>
          <w:p>
            <w:pPr>
              <w:pStyle w:val="0"/>
            </w:pPr>
            <w:r>
              <w:rPr>
                <w:sz w:val="20"/>
              </w:rPr>
            </w:r>
          </w:p>
        </w:tc>
        <w:tc>
          <w:tcPr>
            <w:tcW w:w="624" w:type="dxa"/>
          </w:tcPr>
          <w:p>
            <w:pPr>
              <w:pStyle w:val="0"/>
            </w:pPr>
            <w:r>
              <w:rPr>
                <w:sz w:val="20"/>
              </w:rPr>
            </w:r>
          </w:p>
        </w:tc>
        <w:tc>
          <w:tcPr>
            <w:tcW w:w="819" w:type="dxa"/>
          </w:tcPr>
          <w:p>
            <w:pPr>
              <w:pStyle w:val="0"/>
            </w:pPr>
            <w:r>
              <w:rPr>
                <w:sz w:val="20"/>
              </w:rPr>
            </w:r>
          </w:p>
        </w:tc>
        <w:tc>
          <w:tcPr>
            <w:tcW w:w="819" w:type="dxa"/>
          </w:tcPr>
          <w:p>
            <w:pPr>
              <w:pStyle w:val="0"/>
            </w:pPr>
            <w:r>
              <w:rPr>
                <w:sz w:val="20"/>
              </w:rPr>
            </w:r>
          </w:p>
        </w:tc>
        <w:tc>
          <w:tcPr>
            <w:tcW w:w="825" w:type="dxa"/>
          </w:tcPr>
          <w:p>
            <w:pPr>
              <w:pStyle w:val="0"/>
            </w:pPr>
            <w:r>
              <w:rPr>
                <w:sz w:val="20"/>
              </w:rPr>
            </w:r>
          </w:p>
        </w:tc>
        <w:tc>
          <w:tcPr>
            <w:tcW w:w="819" w:type="dxa"/>
          </w:tcPr>
          <w:p>
            <w:pPr>
              <w:pStyle w:val="0"/>
            </w:pPr>
            <w:r>
              <w:rPr>
                <w:sz w:val="20"/>
              </w:rPr>
            </w:r>
          </w:p>
        </w:tc>
        <w:tc>
          <w:tcPr>
            <w:tcW w:w="737" w:type="dxa"/>
          </w:tcPr>
          <w:p>
            <w:pPr>
              <w:pStyle w:val="0"/>
            </w:pPr>
            <w:r>
              <w:rPr>
                <w:sz w:val="20"/>
              </w:rPr>
            </w:r>
          </w:p>
        </w:tc>
        <w:tc>
          <w:tcPr>
            <w:tcW w:w="82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1077"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tcW w:w="838" w:type="dxa"/>
          </w:tcPr>
          <w:p>
            <w:pPr>
              <w:pStyle w:val="0"/>
            </w:pPr>
            <w:r>
              <w:rPr>
                <w:sz w:val="20"/>
              </w:rPr>
            </w:r>
          </w:p>
        </w:tc>
        <w:tc>
          <w:tcPr>
            <w:tcW w:w="769" w:type="dxa"/>
          </w:tcPr>
          <w:p>
            <w:pPr>
              <w:pStyle w:val="0"/>
            </w:pPr>
            <w:r>
              <w:rPr>
                <w:sz w:val="20"/>
              </w:rPr>
            </w:r>
          </w:p>
        </w:tc>
        <w:tc>
          <w:tcPr>
            <w:tcW w:w="624" w:type="dxa"/>
          </w:tcPr>
          <w:p>
            <w:pPr>
              <w:pStyle w:val="0"/>
            </w:pPr>
            <w:r>
              <w:rPr>
                <w:sz w:val="20"/>
              </w:rPr>
            </w:r>
          </w:p>
        </w:tc>
        <w:tc>
          <w:tcPr>
            <w:tcW w:w="819" w:type="dxa"/>
          </w:tcPr>
          <w:p>
            <w:pPr>
              <w:pStyle w:val="0"/>
            </w:pPr>
            <w:r>
              <w:rPr>
                <w:sz w:val="20"/>
              </w:rPr>
            </w:r>
          </w:p>
        </w:tc>
        <w:tc>
          <w:tcPr>
            <w:tcW w:w="819" w:type="dxa"/>
          </w:tcPr>
          <w:p>
            <w:pPr>
              <w:pStyle w:val="0"/>
            </w:pPr>
            <w:r>
              <w:rPr>
                <w:sz w:val="20"/>
              </w:rPr>
            </w:r>
          </w:p>
        </w:tc>
        <w:tc>
          <w:tcPr>
            <w:tcW w:w="825" w:type="dxa"/>
          </w:tcPr>
          <w:p>
            <w:pPr>
              <w:pStyle w:val="0"/>
            </w:pPr>
            <w:r>
              <w:rPr>
                <w:sz w:val="20"/>
              </w:rPr>
            </w:r>
          </w:p>
        </w:tc>
        <w:tc>
          <w:tcPr>
            <w:tcW w:w="819" w:type="dxa"/>
          </w:tcPr>
          <w:p>
            <w:pPr>
              <w:pStyle w:val="0"/>
            </w:pPr>
            <w:r>
              <w:rPr>
                <w:sz w:val="20"/>
              </w:rPr>
            </w:r>
          </w:p>
        </w:tc>
        <w:tc>
          <w:tcPr>
            <w:tcW w:w="737" w:type="dxa"/>
          </w:tcPr>
          <w:p>
            <w:pPr>
              <w:pStyle w:val="0"/>
            </w:pPr>
            <w:r>
              <w:rPr>
                <w:sz w:val="20"/>
              </w:rPr>
            </w:r>
          </w:p>
        </w:tc>
        <w:tc>
          <w:tcPr>
            <w:tcW w:w="822" w:type="dxa"/>
          </w:tcPr>
          <w:p>
            <w:pPr>
              <w:pStyle w:val="0"/>
            </w:pPr>
            <w:r>
              <w:rPr>
                <w:sz w:val="20"/>
              </w:rPr>
            </w:r>
          </w:p>
        </w:tc>
        <w:tc>
          <w:tcPr>
            <w:tcW w:w="680" w:type="dxa"/>
          </w:tcPr>
          <w:p>
            <w:pPr>
              <w:pStyle w:val="0"/>
            </w:pPr>
            <w:r>
              <w:rPr>
                <w:sz w:val="20"/>
              </w:rPr>
            </w:r>
          </w:p>
        </w:tc>
        <w:tc>
          <w:tcPr>
            <w:tcW w:w="850" w:type="dxa"/>
          </w:tcPr>
          <w:p>
            <w:pPr>
              <w:pStyle w:val="0"/>
            </w:pPr>
            <w:r>
              <w:rPr>
                <w:sz w:val="20"/>
              </w:rPr>
            </w:r>
          </w:p>
        </w:tc>
      </w:tr>
      <w:tr>
        <w:tc>
          <w:tcPr>
            <w:tcW w:w="1077"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6" w:type="dxa"/>
          </w:tcPr>
          <w:p>
            <w:pPr>
              <w:pStyle w:val="0"/>
            </w:pPr>
            <w:r>
              <w:rPr>
                <w:sz w:val="20"/>
              </w:rPr>
            </w:r>
          </w:p>
        </w:tc>
        <w:tc>
          <w:tcPr>
            <w:tcW w:w="1028" w:type="dxa"/>
          </w:tcPr>
          <w:p>
            <w:pPr>
              <w:pStyle w:val="0"/>
            </w:pPr>
            <w:r>
              <w:rPr>
                <w:sz w:val="20"/>
              </w:rPr>
            </w:r>
          </w:p>
        </w:tc>
        <w:tc>
          <w:tcPr>
            <w:tcW w:w="838" w:type="dxa"/>
          </w:tcPr>
          <w:p>
            <w:pPr>
              <w:pStyle w:val="0"/>
            </w:pPr>
            <w:r>
              <w:rPr>
                <w:sz w:val="20"/>
              </w:rPr>
            </w:r>
          </w:p>
        </w:tc>
        <w:tc>
          <w:tcPr>
            <w:tcW w:w="769" w:type="dxa"/>
          </w:tcPr>
          <w:p>
            <w:pPr>
              <w:pStyle w:val="0"/>
            </w:pPr>
            <w:r>
              <w:rPr>
                <w:sz w:val="20"/>
              </w:rPr>
            </w:r>
          </w:p>
        </w:tc>
        <w:tc>
          <w:tcPr>
            <w:tcW w:w="624" w:type="dxa"/>
          </w:tcPr>
          <w:p>
            <w:pPr>
              <w:pStyle w:val="0"/>
            </w:pPr>
            <w:r>
              <w:rPr>
                <w:sz w:val="20"/>
              </w:rPr>
            </w:r>
          </w:p>
        </w:tc>
        <w:tc>
          <w:tcPr>
            <w:tcW w:w="819" w:type="dxa"/>
          </w:tcPr>
          <w:p>
            <w:pPr>
              <w:pStyle w:val="0"/>
            </w:pPr>
            <w:r>
              <w:rPr>
                <w:sz w:val="20"/>
              </w:rPr>
            </w:r>
          </w:p>
        </w:tc>
        <w:tc>
          <w:tcPr>
            <w:tcW w:w="819" w:type="dxa"/>
          </w:tcPr>
          <w:p>
            <w:pPr>
              <w:pStyle w:val="0"/>
            </w:pPr>
            <w:r>
              <w:rPr>
                <w:sz w:val="20"/>
              </w:rPr>
            </w:r>
          </w:p>
        </w:tc>
        <w:tc>
          <w:tcPr>
            <w:tcW w:w="825" w:type="dxa"/>
          </w:tcPr>
          <w:p>
            <w:pPr>
              <w:pStyle w:val="0"/>
            </w:pPr>
            <w:r>
              <w:rPr>
                <w:sz w:val="20"/>
              </w:rPr>
            </w:r>
          </w:p>
        </w:tc>
        <w:tc>
          <w:tcPr>
            <w:tcW w:w="819" w:type="dxa"/>
          </w:tcPr>
          <w:p>
            <w:pPr>
              <w:pStyle w:val="0"/>
            </w:pPr>
            <w:r>
              <w:rPr>
                <w:sz w:val="20"/>
              </w:rPr>
            </w:r>
          </w:p>
        </w:tc>
        <w:tc>
          <w:tcPr>
            <w:tcW w:w="737" w:type="dxa"/>
          </w:tcPr>
          <w:p>
            <w:pPr>
              <w:pStyle w:val="0"/>
            </w:pPr>
            <w:r>
              <w:rPr>
                <w:sz w:val="20"/>
              </w:rPr>
            </w:r>
          </w:p>
        </w:tc>
        <w:tc>
          <w:tcPr>
            <w:tcW w:w="822" w:type="dxa"/>
          </w:tcPr>
          <w:p>
            <w:pPr>
              <w:pStyle w:val="0"/>
            </w:pPr>
            <w:r>
              <w:rPr>
                <w:sz w:val="20"/>
              </w:rPr>
            </w:r>
          </w:p>
        </w:tc>
        <w:tc>
          <w:tcPr>
            <w:tcW w:w="680" w:type="dxa"/>
          </w:tcPr>
          <w:p>
            <w:pPr>
              <w:pStyle w:val="0"/>
            </w:pPr>
            <w:r>
              <w:rPr>
                <w:sz w:val="20"/>
              </w:rPr>
            </w:r>
          </w:p>
        </w:tc>
        <w:tc>
          <w:tcPr>
            <w:tcW w:w="850"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outlineLvl w:val="2"/>
        <w:jc w:val="center"/>
      </w:pPr>
      <w:r>
        <w:rPr>
          <w:sz w:val="20"/>
        </w:rPr>
        <w:t xml:space="preserve">Часть III. Прочие сведения о муниципальном задании </w:t>
      </w:r>
      <w:hyperlink w:history="0" w:anchor="P763" w:tooltip="&lt;9&gt; Заполняется в целом по муниципальному заданию.">
        <w:r>
          <w:rPr>
            <w:sz w:val="20"/>
            <w:color w:val="0000ff"/>
          </w:rPr>
          <w:t xml:space="preserve">&lt;9&gt;</w:t>
        </w:r>
      </w:hyperlink>
    </w:p>
    <w:p>
      <w:pPr>
        <w:pStyle w:val="0"/>
        <w:jc w:val="both"/>
      </w:pPr>
      <w:r>
        <w:rPr>
          <w:sz w:val="20"/>
        </w:rPr>
      </w:r>
    </w:p>
    <w:tbl>
      <w:tblPr>
        <w:tblInd w:w="0" w:type="dxa"/>
        <w:tblLayout w:type="fixed"/>
        <w:tblCellMar>
          <w:top w:w="102" w:type="dxa"/>
          <w:left w:w="62" w:type="dxa"/>
          <w:bottom w:w="102" w:type="dxa"/>
          <w:right w:w="62" w:type="dxa"/>
        </w:tblCellMar>
      </w:tblPr>
      <w:tblGrid>
        <w:gridCol w:w="5669"/>
        <w:gridCol w:w="3402"/>
      </w:tblGrid>
      <w:tr>
        <w:tc>
          <w:tcPr>
            <w:tcW w:w="5669" w:type="dxa"/>
            <w:tcBorders>
              <w:top w:val="nil"/>
              <w:left w:val="nil"/>
              <w:bottom w:val="nil"/>
              <w:right w:val="nil"/>
            </w:tcBorders>
          </w:tcPr>
          <w:p>
            <w:pPr>
              <w:pStyle w:val="0"/>
            </w:pPr>
            <w:r>
              <w:rPr>
                <w:sz w:val="20"/>
              </w:rPr>
              <w:t xml:space="preserve">1. Основания (условия и порядок) для досрочного прекращения выполнения муниципального задания</w:t>
            </w:r>
          </w:p>
        </w:tc>
        <w:tc>
          <w:tcPr>
            <w:tcW w:w="3402" w:type="dxa"/>
            <w:tcBorders>
              <w:top w:val="nil"/>
              <w:left w:val="nil"/>
              <w:bottom w:val="single" w:sz="4"/>
              <w:right w:val="nil"/>
            </w:tcBorders>
          </w:tcPr>
          <w:p>
            <w:pPr>
              <w:pStyle w:val="0"/>
            </w:pPr>
            <w:r>
              <w:rPr>
                <w:sz w:val="20"/>
              </w:rPr>
            </w:r>
          </w:p>
        </w:tc>
      </w:tr>
      <w:tr>
        <w:tc>
          <w:tcPr>
            <w:tcW w:w="5669" w:type="dxa"/>
            <w:tcBorders>
              <w:top w:val="nil"/>
              <w:left w:val="nil"/>
              <w:bottom w:val="nil"/>
              <w:right w:val="nil"/>
            </w:tcBorders>
          </w:tcPr>
          <w:p>
            <w:pPr>
              <w:pStyle w:val="0"/>
            </w:pPr>
            <w:r>
              <w:rPr>
                <w:sz w:val="20"/>
              </w:rPr>
              <w:t xml:space="preserve">2. Иная информация, необходимая для выполнения (контроля за выполнением) муниципального задания</w:t>
            </w:r>
          </w:p>
        </w:tc>
        <w:tc>
          <w:tcPr>
            <w:tcW w:w="3402" w:type="dxa"/>
            <w:tcBorders>
              <w:top w:val="single" w:sz="4"/>
              <w:left w:val="nil"/>
              <w:bottom w:val="single" w:sz="4"/>
              <w:right w:val="nil"/>
            </w:tcBorders>
          </w:tcPr>
          <w:p>
            <w:pPr>
              <w:pStyle w:val="0"/>
            </w:pPr>
            <w:r>
              <w:rPr>
                <w:sz w:val="20"/>
              </w:rPr>
            </w:r>
          </w:p>
        </w:tc>
      </w:tr>
      <w:tr>
        <w:tc>
          <w:tcPr>
            <w:gridSpan w:val="2"/>
            <w:tcW w:w="9071" w:type="dxa"/>
            <w:tcBorders>
              <w:top w:val="nil"/>
              <w:left w:val="nil"/>
              <w:bottom w:val="nil"/>
              <w:right w:val="nil"/>
            </w:tcBorders>
          </w:tcPr>
          <w:p>
            <w:pPr>
              <w:pStyle w:val="0"/>
            </w:pPr>
            <w:r>
              <w:rPr>
                <w:sz w:val="20"/>
              </w:rPr>
              <w:t xml:space="preserve">3. Порядок контроля за выполнением муниципального задания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714"/>
        <w:gridCol w:w="5443"/>
      </w:tblGrid>
      <w:tr>
        <w:tc>
          <w:tcPr>
            <w:tcW w:w="1871" w:type="dxa"/>
          </w:tcPr>
          <w:p>
            <w:pPr>
              <w:pStyle w:val="0"/>
              <w:jc w:val="center"/>
            </w:pPr>
            <w:r>
              <w:rPr>
                <w:sz w:val="20"/>
              </w:rPr>
              <w:t xml:space="preserve">Форма контроля</w:t>
            </w:r>
          </w:p>
        </w:tc>
        <w:tc>
          <w:tcPr>
            <w:tcW w:w="1714" w:type="dxa"/>
          </w:tcPr>
          <w:p>
            <w:pPr>
              <w:pStyle w:val="0"/>
              <w:jc w:val="center"/>
            </w:pPr>
            <w:r>
              <w:rPr>
                <w:sz w:val="20"/>
              </w:rPr>
              <w:t xml:space="preserve">Периодичность</w:t>
            </w:r>
          </w:p>
        </w:tc>
        <w:tc>
          <w:tcPr>
            <w:tcW w:w="5443" w:type="dxa"/>
          </w:tcPr>
          <w:p>
            <w:pPr>
              <w:pStyle w:val="0"/>
              <w:jc w:val="center"/>
            </w:pPr>
            <w:r>
              <w:rPr>
                <w:sz w:val="20"/>
              </w:rPr>
              <w:t xml:space="preserve">Органы муниципальной власти Кунгурского муниципального округа, осуществляющие контроль за выполнением муниципального задания</w:t>
            </w:r>
          </w:p>
        </w:tc>
      </w:tr>
      <w:tr>
        <w:tc>
          <w:tcPr>
            <w:tcW w:w="1871" w:type="dxa"/>
          </w:tcPr>
          <w:p>
            <w:pPr>
              <w:pStyle w:val="0"/>
              <w:jc w:val="center"/>
            </w:pPr>
            <w:r>
              <w:rPr>
                <w:sz w:val="20"/>
              </w:rPr>
              <w:t xml:space="preserve">1</w:t>
            </w:r>
          </w:p>
        </w:tc>
        <w:tc>
          <w:tcPr>
            <w:tcW w:w="1714" w:type="dxa"/>
          </w:tcPr>
          <w:p>
            <w:pPr>
              <w:pStyle w:val="0"/>
              <w:jc w:val="center"/>
            </w:pPr>
            <w:r>
              <w:rPr>
                <w:sz w:val="20"/>
              </w:rPr>
              <w:t xml:space="preserve">2</w:t>
            </w:r>
          </w:p>
        </w:tc>
        <w:tc>
          <w:tcPr>
            <w:tcW w:w="5443" w:type="dxa"/>
          </w:tcPr>
          <w:p>
            <w:pPr>
              <w:pStyle w:val="0"/>
              <w:jc w:val="center"/>
            </w:pPr>
            <w:r>
              <w:rPr>
                <w:sz w:val="20"/>
              </w:rPr>
              <w:t xml:space="preserve">3</w:t>
            </w:r>
          </w:p>
        </w:tc>
      </w:tr>
      <w:tr>
        <w:tc>
          <w:tcPr>
            <w:tcW w:w="1871" w:type="dxa"/>
          </w:tcPr>
          <w:p>
            <w:pPr>
              <w:pStyle w:val="0"/>
            </w:pPr>
            <w:r>
              <w:rPr>
                <w:sz w:val="20"/>
              </w:rPr>
            </w:r>
          </w:p>
        </w:tc>
        <w:tc>
          <w:tcPr>
            <w:tcW w:w="1714" w:type="dxa"/>
          </w:tcPr>
          <w:p>
            <w:pPr>
              <w:pStyle w:val="0"/>
            </w:pPr>
            <w:r>
              <w:rPr>
                <w:sz w:val="20"/>
              </w:rPr>
            </w:r>
          </w:p>
        </w:tc>
        <w:tc>
          <w:tcPr>
            <w:tcW w:w="5443"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6746"/>
        <w:gridCol w:w="2324"/>
      </w:tblGrid>
      <w:tr>
        <w:tc>
          <w:tcPr>
            <w:tcW w:w="6746" w:type="dxa"/>
            <w:tcBorders>
              <w:top w:val="nil"/>
              <w:left w:val="nil"/>
              <w:bottom w:val="nil"/>
              <w:right w:val="nil"/>
            </w:tcBorders>
          </w:tcPr>
          <w:p>
            <w:pPr>
              <w:pStyle w:val="0"/>
            </w:pPr>
            <w:r>
              <w:rPr>
                <w:sz w:val="20"/>
              </w:rPr>
              <w:t xml:space="preserve">4. Требования к отчетности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4.1. Периодичность представления отчетов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4.2. Сроки представления отчетов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4.2.1. Сроки представления предварительного отчета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4.3. Иные требования к отчетности о выполнении муниципального задания</w:t>
            </w:r>
          </w:p>
        </w:tc>
        <w:tc>
          <w:tcPr>
            <w:tcW w:w="2324" w:type="dxa"/>
            <w:tcBorders>
              <w:top w:val="nil"/>
              <w:left w:val="nil"/>
              <w:bottom w:val="nil"/>
              <w:right w:val="nil"/>
            </w:tcBorders>
          </w:tcPr>
          <w:p>
            <w:pPr>
              <w:pStyle w:val="0"/>
            </w:pPr>
            <w:r>
              <w:rPr>
                <w:sz w:val="20"/>
              </w:rPr>
            </w:r>
          </w:p>
        </w:tc>
      </w:tr>
      <w:tr>
        <w:tc>
          <w:tcPr>
            <w:tcW w:w="6746" w:type="dxa"/>
            <w:tcBorders>
              <w:top w:val="nil"/>
              <w:left w:val="nil"/>
              <w:bottom w:val="nil"/>
              <w:right w:val="nil"/>
            </w:tcBorders>
          </w:tcPr>
          <w:p>
            <w:pPr>
              <w:pStyle w:val="0"/>
            </w:pPr>
            <w:r>
              <w:rPr>
                <w:sz w:val="20"/>
              </w:rPr>
              <w:t xml:space="preserve">5. Иные показатели, связанные с выполнением муниципального задания &lt;10&gt;</w:t>
            </w:r>
          </w:p>
        </w:tc>
        <w:tc>
          <w:tcPr>
            <w:tcW w:w="2324" w:type="dxa"/>
            <w:tcBorders>
              <w:top w:val="nil"/>
              <w:left w:val="nil"/>
              <w:bottom w:val="nil"/>
              <w:right w:val="nil"/>
            </w:tcBorders>
          </w:tcPr>
          <w:p>
            <w:pPr>
              <w:pStyle w:val="0"/>
            </w:pPr>
            <w:r>
              <w:rPr>
                <w:sz w:val="20"/>
              </w:rPr>
            </w:r>
          </w:p>
        </w:tc>
      </w:tr>
    </w:tbl>
    <w:p>
      <w:pPr>
        <w:pStyle w:val="0"/>
        <w:jc w:val="both"/>
      </w:pPr>
      <w:r>
        <w:rPr>
          <w:sz w:val="20"/>
        </w:rPr>
      </w:r>
    </w:p>
    <w:p>
      <w:pPr>
        <w:pStyle w:val="0"/>
        <w:ind w:firstLine="540"/>
        <w:jc w:val="both"/>
      </w:pPr>
      <w:r>
        <w:rPr>
          <w:sz w:val="20"/>
        </w:rPr>
        <w:t xml:space="preserve">--------------------------------</w:t>
      </w:r>
    </w:p>
    <w:bookmarkStart w:id="755" w:name="P755"/>
    <w:bookmarkEnd w:id="755"/>
    <w:p>
      <w:pPr>
        <w:pStyle w:val="0"/>
        <w:spacing w:before="200" w:line-rule="auto"/>
        <w:ind w:firstLine="540"/>
        <w:jc w:val="both"/>
      </w:pPr>
      <w:r>
        <w:rPr>
          <w:sz w:val="20"/>
        </w:rPr>
        <w:t xml:space="preserve">&lt;1&gt; Номер муниципального задания присваивается ГРБС.</w:t>
      </w:r>
    </w:p>
    <w:bookmarkStart w:id="756" w:name="P756"/>
    <w:bookmarkEnd w:id="756"/>
    <w:p>
      <w:pPr>
        <w:pStyle w:val="0"/>
        <w:spacing w:before="200" w:line-rule="auto"/>
        <w:ind w:firstLine="540"/>
        <w:jc w:val="both"/>
      </w:pPr>
      <w:r>
        <w:rPr>
          <w:sz w:val="20"/>
        </w:rPr>
        <w:t xml:space="preserve">&lt;2&gt; Заполняется в случае досрочного прекращения выполнения муниципального задания.</w:t>
      </w:r>
    </w:p>
    <w:bookmarkStart w:id="757" w:name="P757"/>
    <w:bookmarkEnd w:id="757"/>
    <w:p>
      <w:pPr>
        <w:pStyle w:val="0"/>
        <w:spacing w:before="200" w:line-rule="auto"/>
        <w:ind w:firstLine="540"/>
        <w:jc w:val="both"/>
      </w:pPr>
      <w:r>
        <w:rPr>
          <w:sz w:val="20"/>
        </w:rPr>
        <w:t xml:space="preserve">&lt;3&gt;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w:t>
      </w:r>
    </w:p>
    <w:bookmarkStart w:id="758" w:name="P758"/>
    <w:bookmarkEnd w:id="758"/>
    <w:p>
      <w:pPr>
        <w:pStyle w:val="0"/>
        <w:spacing w:before="200" w:line-rule="auto"/>
        <w:ind w:firstLine="540"/>
        <w:jc w:val="both"/>
      </w:pPr>
      <w:r>
        <w:rPr>
          <w:sz w:val="20"/>
        </w:rPr>
        <w:t xml:space="preserve">&lt;4&gt; Заполняется в соответствии с показателями, характеризующими качество услуг (работ), установленными в общероссийском базовом перечне или региональном перечне, а при их отсутствии или в дополнение к ним - показателями, характеризующими качество, установленными при необходимости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муниципального казенные учреждения, и единицы их измерения.</w:t>
      </w:r>
    </w:p>
    <w:bookmarkStart w:id="759" w:name="P759"/>
    <w:bookmarkEnd w:id="759"/>
    <w:p>
      <w:pPr>
        <w:pStyle w:val="0"/>
        <w:spacing w:before="200" w:line-rule="auto"/>
        <w:ind w:firstLine="540"/>
        <w:jc w:val="both"/>
      </w:pPr>
      <w:r>
        <w:rPr>
          <w:sz w:val="20"/>
        </w:rPr>
        <w:t xml:space="preserve">&lt;5&gt; Заполняется в соответствии с общероссийскими базовыми перечнями или региональными перечнями.</w:t>
      </w:r>
    </w:p>
    <w:bookmarkStart w:id="760" w:name="P760"/>
    <w:bookmarkEnd w:id="760"/>
    <w:p>
      <w:pPr>
        <w:pStyle w:val="0"/>
        <w:spacing w:before="200" w:line-rule="auto"/>
        <w:ind w:firstLine="540"/>
        <w:jc w:val="both"/>
      </w:pPr>
      <w:r>
        <w:rPr>
          <w:sz w:val="20"/>
        </w:rPr>
        <w:t xml:space="preserve">&lt;6&gt; Заполняется в соответствии с кодом, указанным в общероссийском базовом перечне или региональном перечне (при наличии).</w:t>
      </w:r>
    </w:p>
    <w:bookmarkStart w:id="761" w:name="P761"/>
    <w:bookmarkEnd w:id="761"/>
    <w:p>
      <w:pPr>
        <w:pStyle w:val="0"/>
        <w:spacing w:before="200" w:line-rule="auto"/>
        <w:ind w:firstLine="540"/>
        <w:jc w:val="both"/>
      </w:pPr>
      <w:r>
        <w:rPr>
          <w:sz w:val="20"/>
        </w:rPr>
        <w:t xml:space="preserve">&lt;7&gt;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w:t>
      </w:r>
    </w:p>
    <w:bookmarkStart w:id="762" w:name="P762"/>
    <w:bookmarkEnd w:id="762"/>
    <w:p>
      <w:pPr>
        <w:pStyle w:val="0"/>
        <w:spacing w:before="200" w:line-rule="auto"/>
        <w:ind w:firstLine="540"/>
        <w:jc w:val="both"/>
      </w:pPr>
      <w:r>
        <w:rPr>
          <w:sz w:val="20"/>
        </w:rPr>
        <w:t xml:space="preserve">&lt;8&gt; Заполняется в случае, если оказание услуг (выполнение работ) осуществляется на платной основе в соответствии с законодательством Российской Федерации в рамках муниципального задания. При оказании услуг (выполнении работ) на платной основе сверх установленного муниципального задания указанный показатель не формируется.</w:t>
      </w:r>
    </w:p>
    <w:bookmarkStart w:id="763" w:name="P763"/>
    <w:bookmarkEnd w:id="763"/>
    <w:p>
      <w:pPr>
        <w:pStyle w:val="0"/>
        <w:spacing w:before="200" w:line-rule="auto"/>
        <w:ind w:firstLine="540"/>
        <w:jc w:val="both"/>
      </w:pPr>
      <w:r>
        <w:rPr>
          <w:sz w:val="20"/>
        </w:rPr>
        <w:t xml:space="preserve">&lt;9&gt; Заполняется в целом по муниципальному заданию.</w:t>
      </w:r>
    </w:p>
    <w:p>
      <w:pPr>
        <w:pStyle w:val="0"/>
        <w:spacing w:before="200" w:line-rule="auto"/>
        <w:ind w:firstLine="540"/>
        <w:jc w:val="both"/>
      </w:pPr>
      <w:r>
        <w:rPr>
          <w:sz w:val="20"/>
        </w:rPr>
        <w:t xml:space="preserve">&lt;10&gt; В числе иных показателей может быть указано допустимое (возможное) отклонение от выполнения муниципального задания (части муниципального задания), в пределах которого оно (его часть) считается выполненным (выполненной), при принятии органом, осуществляющим функции и полномочия учредителя муниципальных бюджетных или автономных учреждений, главным распорядителем средств бюджета Кунгурского муниципального округа, в ведении которого находятся муниципальные казенные учреждения, решения об установлении общего допустимого (возможного) отклонения от выполнения муниципального задания, в пределах которого оно считается выполненным (в процентах, в абсолютных величинах). В этом случае допустимые (возможные) отклонения, предусмотренные подпунктами 3.1 и 3.2 настоящего муниципального задания, не заполняются. В случае установления требования о представлении ежемесячных или ежеквартальных отчетов о выполнении муниципального задания в числе иных показателей устанавливаются показатели выполнения муниципального задания в процентах от годового объема оказания муниципальных услуг (выполнения работ) или в абсолютных величинах как для муниципального задания в целом, так и относительно его части (в том числе с учетом неравномерного оказания муниципальных услуг (выполнения работ) в течение календарного года).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Порядку</w:t>
      </w:r>
    </w:p>
    <w:p>
      <w:pPr>
        <w:pStyle w:val="0"/>
        <w:jc w:val="right"/>
      </w:pPr>
      <w:r>
        <w:rPr>
          <w:sz w:val="20"/>
        </w:rPr>
        <w:t xml:space="preserve">формирования муниципального задания</w:t>
      </w:r>
    </w:p>
    <w:p>
      <w:pPr>
        <w:pStyle w:val="0"/>
        <w:jc w:val="right"/>
      </w:pPr>
      <w:r>
        <w:rPr>
          <w:sz w:val="20"/>
        </w:rPr>
        <w:t xml:space="preserve">на оказание муниципальных услуг</w:t>
      </w:r>
    </w:p>
    <w:p>
      <w:pPr>
        <w:pStyle w:val="0"/>
        <w:jc w:val="right"/>
      </w:pPr>
      <w:r>
        <w:rPr>
          <w:sz w:val="20"/>
        </w:rPr>
        <w:t xml:space="preserve">(выполнение работ) в отношении</w:t>
      </w:r>
    </w:p>
    <w:p>
      <w:pPr>
        <w:pStyle w:val="0"/>
        <w:jc w:val="right"/>
      </w:pPr>
      <w:r>
        <w:rPr>
          <w:sz w:val="20"/>
        </w:rPr>
        <w:t xml:space="preserve">муниципальных учреждений</w:t>
      </w:r>
    </w:p>
    <w:p>
      <w:pPr>
        <w:pStyle w:val="0"/>
        <w:jc w:val="right"/>
      </w:pPr>
      <w:r>
        <w:rPr>
          <w:sz w:val="20"/>
        </w:rPr>
        <w:t xml:space="preserve">Кунгурского муниципального округа</w:t>
      </w:r>
    </w:p>
    <w:p>
      <w:pPr>
        <w:pStyle w:val="0"/>
        <w:jc w:val="right"/>
      </w:pPr>
      <w:r>
        <w:rPr>
          <w:sz w:val="20"/>
        </w:rPr>
        <w:t xml:space="preserve">Пермского края и финансового обеспечения</w:t>
      </w:r>
    </w:p>
    <w:p>
      <w:pPr>
        <w:pStyle w:val="0"/>
        <w:jc w:val="right"/>
      </w:pPr>
      <w:r>
        <w:rPr>
          <w:sz w:val="20"/>
        </w:rPr>
        <w:t xml:space="preserve">выполнения муниципального задания</w:t>
      </w:r>
    </w:p>
    <w:p>
      <w:pPr>
        <w:pStyle w:val="0"/>
        <w:jc w:val="both"/>
      </w:pPr>
      <w:r>
        <w:rPr>
          <w:sz w:val="20"/>
        </w:rPr>
      </w:r>
    </w:p>
    <w:tbl>
      <w:tblPr>
        <w:tblInd w:w="0" w:type="dxa"/>
        <w:tblLayout w:type="fixed"/>
        <w:tblBorders>
          <w:right w:val="single" w:sz="4"/>
        </w:tblBorders>
        <w:tblCellMar>
          <w:top w:w="102" w:type="dxa"/>
          <w:left w:w="62" w:type="dxa"/>
          <w:bottom w:w="102" w:type="dxa"/>
          <w:right w:w="62" w:type="dxa"/>
        </w:tblCellMar>
      </w:tblPr>
      <w:tblGrid>
        <w:gridCol w:w="1928"/>
        <w:gridCol w:w="3798"/>
        <w:gridCol w:w="510"/>
        <w:gridCol w:w="283"/>
        <w:gridCol w:w="1474"/>
        <w:gridCol w:w="1077"/>
      </w:tblGrid>
      <w:tr>
        <w:tblPrEx>
          <w:tblBorders>
            <w:insideV w:val="single" w:sz="4"/>
          </w:tblBorders>
        </w:tblPrEx>
        <w:tc>
          <w:tcPr>
            <w:gridSpan w:val="5"/>
            <w:tcW w:w="7993" w:type="dxa"/>
            <w:tcBorders>
              <w:top w:val="nil"/>
              <w:left w:val="nil"/>
              <w:bottom w:val="nil"/>
            </w:tcBorders>
          </w:tcPr>
          <w:p>
            <w:pPr>
              <w:pStyle w:val="0"/>
            </w:pPr>
            <w:r>
              <w:rPr>
                <w:sz w:val="20"/>
              </w:rPr>
            </w:r>
          </w:p>
        </w:tc>
        <w:tc>
          <w:tcPr>
            <w:tcW w:w="1077" w:type="dxa"/>
            <w:tcBorders>
              <w:top w:val="single" w:sz="4"/>
              <w:bottom w:val="single" w:sz="4"/>
            </w:tcBorders>
          </w:tcPr>
          <w:p>
            <w:pPr>
              <w:pStyle w:val="0"/>
              <w:jc w:val="center"/>
            </w:pPr>
            <w:r>
              <w:rPr>
                <w:sz w:val="20"/>
              </w:rPr>
              <w:t xml:space="preserve">Коды</w:t>
            </w:r>
          </w:p>
        </w:tc>
      </w:tr>
      <w:tr>
        <w:tc>
          <w:tcPr>
            <w:gridSpan w:val="4"/>
            <w:tcW w:w="6519" w:type="dxa"/>
            <w:tcBorders>
              <w:top w:val="nil"/>
              <w:left w:val="nil"/>
              <w:bottom w:val="nil"/>
              <w:right w:val="nil"/>
            </w:tcBorders>
          </w:tcPr>
          <w:bookmarkStart w:id="782" w:name="P782"/>
          <w:bookmarkEnd w:id="782"/>
          <w:p>
            <w:pPr>
              <w:pStyle w:val="0"/>
              <w:jc w:val="center"/>
            </w:pPr>
            <w:r>
              <w:rPr>
                <w:sz w:val="20"/>
              </w:rPr>
              <w:t xml:space="preserve">ОТЧЕТ О ВЫПОЛНЕНИИ</w:t>
            </w:r>
          </w:p>
        </w:tc>
        <w:tc>
          <w:tcPr>
            <w:tcW w:w="1474" w:type="dxa"/>
            <w:tcBorders>
              <w:top w:val="nil"/>
              <w:left w:val="nil"/>
              <w:bottom w:val="nil"/>
              <w:right w:val="single" w:sz="4"/>
            </w:tcBorders>
            <w:vMerge w:val="restart"/>
          </w:tcPr>
          <w:p>
            <w:pPr>
              <w:pStyle w:val="0"/>
              <w:jc w:val="right"/>
            </w:pPr>
            <w:r>
              <w:rPr>
                <w:sz w:val="20"/>
              </w:rPr>
              <w:t xml:space="preserve">Форма по </w:t>
            </w:r>
            <w:hyperlink w:history="0" r:id="rId26" w:tooltip="&quot;ОК 011-93. Общероссийский классификатор управленческой документации&quot; (утв. Постановлением Госстандарта России от 30.12.1993 N 299) (ред. от 16.06.2023) {КонсультантПлюс}">
              <w:r>
                <w:rPr>
                  <w:sz w:val="20"/>
                  <w:color w:val="0000ff"/>
                </w:rPr>
                <w:t xml:space="preserve">ОКУД</w:t>
              </w:r>
            </w:hyperlink>
          </w:p>
        </w:tc>
        <w:tc>
          <w:tcPr>
            <w:tcW w:w="1077" w:type="dxa"/>
            <w:tcBorders>
              <w:top w:val="single" w:sz="4"/>
              <w:left w:val="single" w:sz="4"/>
              <w:bottom w:val="single" w:sz="4"/>
              <w:right w:val="single" w:sz="4"/>
            </w:tcBorders>
            <w:vMerge w:val="restart"/>
          </w:tcPr>
          <w:p>
            <w:pPr>
              <w:pStyle w:val="0"/>
              <w:jc w:val="center"/>
            </w:pPr>
            <w:r>
              <w:rPr>
                <w:sz w:val="20"/>
              </w:rPr>
              <w:t xml:space="preserve">0506001</w:t>
            </w:r>
          </w:p>
        </w:tc>
      </w:tr>
      <w:tr>
        <w:tblPrEx>
          <w:tblBorders>
            <w:insideV w:val="single" w:sz="4"/>
          </w:tblBorders>
        </w:tblPrEx>
        <w:tc>
          <w:tcPr>
            <w:gridSpan w:val="2"/>
            <w:tcW w:w="5726" w:type="dxa"/>
            <w:tcBorders>
              <w:top w:val="nil"/>
              <w:left w:val="nil"/>
              <w:bottom w:val="nil"/>
            </w:tcBorders>
          </w:tcPr>
          <w:p>
            <w:pPr>
              <w:pStyle w:val="0"/>
              <w:jc w:val="right"/>
            </w:pPr>
            <w:r>
              <w:rPr>
                <w:sz w:val="20"/>
              </w:rPr>
              <w:t xml:space="preserve">МУНИЦИПАЛЬНОГО ЗАДАНИЯ N ___ </w:t>
            </w:r>
            <w:hyperlink w:history="0" w:anchor="P1205" w:tooltip="&lt;1&gt; Указывается номер муниципального задания, по которому формируется отчет.">
              <w:r>
                <w:rPr>
                  <w:sz w:val="20"/>
                  <w:color w:val="0000ff"/>
                </w:rPr>
                <w:t xml:space="preserve">&lt;1&gt;</w:t>
              </w:r>
            </w:hyperlink>
          </w:p>
        </w:tc>
        <w:tc>
          <w:tcPr>
            <w:gridSpan w:val="2"/>
            <w:tcW w:w="793" w:type="dxa"/>
            <w:tcBorders>
              <w:top w:val="single" w:sz="4"/>
              <w:bottom w:val="single" w:sz="4"/>
            </w:tcBorders>
          </w:tcPr>
          <w:p>
            <w:pPr>
              <w:pStyle w:val="0"/>
            </w:pPr>
            <w:r>
              <w:rPr>
                <w:sz w:val="20"/>
              </w:rPr>
            </w:r>
          </w:p>
        </w:tc>
        <w:tc>
          <w:tcPr>
            <w:tcBorders>
              <w:top w:val="nil"/>
              <w:left w:val="nil"/>
              <w:bottom w:val="nil"/>
            </w:tcBorders>
            <w:vMerge w:val="continue"/>
          </w:tcPr>
          <w:p/>
        </w:tc>
        <w:tc>
          <w:tcPr>
            <w:tcBorders>
              <w:top w:val="single" w:sz="4"/>
              <w:bottom w:val="single" w:sz="4"/>
            </w:tcBorders>
            <w:vMerge w:val="continue"/>
          </w:tcPr>
          <w:p/>
        </w:tc>
      </w:tr>
      <w:tr>
        <w:tc>
          <w:tcPr>
            <w:gridSpan w:val="4"/>
            <w:tcW w:w="6519" w:type="dxa"/>
            <w:tcBorders>
              <w:top w:val="nil"/>
              <w:left w:val="nil"/>
              <w:bottom w:val="nil"/>
              <w:right w:val="nil"/>
            </w:tcBorders>
          </w:tcPr>
          <w:p>
            <w:pPr>
              <w:pStyle w:val="0"/>
              <w:jc w:val="center"/>
            </w:pPr>
            <w:r>
              <w:rPr>
                <w:sz w:val="20"/>
              </w:rPr>
              <w:t xml:space="preserve">на 20__ год и на плановый период 20__ и 20__ годов</w:t>
            </w:r>
          </w:p>
        </w:tc>
        <w:tc>
          <w:tcPr>
            <w:tcW w:w="1474" w:type="dxa"/>
            <w:tcBorders>
              <w:top w:val="nil"/>
              <w:left w:val="nil"/>
              <w:bottom w:val="nil"/>
              <w:right w:val="single" w:sz="4"/>
            </w:tcBorders>
          </w:tcPr>
          <w:p>
            <w:pPr>
              <w:pStyle w:val="0"/>
            </w:pPr>
            <w:r>
              <w:rPr>
                <w:sz w:val="20"/>
              </w:rPr>
            </w:r>
          </w:p>
        </w:tc>
        <w:tc>
          <w:tcPr>
            <w:tcW w:w="1077" w:type="dxa"/>
            <w:tcBorders>
              <w:top w:val="single" w:sz="4"/>
              <w:left w:val="single" w:sz="4"/>
              <w:bottom w:val="single" w:sz="4"/>
              <w:right w:val="single" w:sz="4"/>
            </w:tcBorders>
          </w:tcPr>
          <w:p>
            <w:pPr>
              <w:pStyle w:val="0"/>
            </w:pPr>
            <w:r>
              <w:rPr>
                <w:sz w:val="20"/>
              </w:rPr>
            </w:r>
          </w:p>
        </w:tc>
      </w:tr>
      <w:tr>
        <w:tc>
          <w:tcPr>
            <w:gridSpan w:val="4"/>
            <w:tcW w:w="6519" w:type="dxa"/>
            <w:tcBorders>
              <w:top w:val="nil"/>
              <w:left w:val="nil"/>
              <w:bottom w:val="nil"/>
              <w:right w:val="nil"/>
            </w:tcBorders>
          </w:tcPr>
          <w:p>
            <w:pPr>
              <w:pStyle w:val="0"/>
              <w:jc w:val="center"/>
            </w:pPr>
            <w:r>
              <w:rPr>
                <w:sz w:val="20"/>
              </w:rPr>
              <w:t xml:space="preserve">от "___" ____________ 20___ г.</w:t>
            </w:r>
          </w:p>
        </w:tc>
        <w:tc>
          <w:tcPr>
            <w:tcW w:w="1474" w:type="dxa"/>
            <w:tcBorders>
              <w:top w:val="nil"/>
              <w:left w:val="nil"/>
              <w:bottom w:val="nil"/>
              <w:right w:val="single" w:sz="4"/>
            </w:tcBorders>
          </w:tcPr>
          <w:p>
            <w:pPr>
              <w:pStyle w:val="0"/>
              <w:jc w:val="right"/>
            </w:pPr>
            <w:r>
              <w:rPr>
                <w:sz w:val="20"/>
              </w:rPr>
              <w:t xml:space="preserve">Дата</w:t>
            </w:r>
          </w:p>
        </w:tc>
        <w:tc>
          <w:tcPr>
            <w:tcW w:w="1077" w:type="dxa"/>
            <w:tcBorders>
              <w:top w:val="single" w:sz="4"/>
              <w:left w:val="single" w:sz="4"/>
              <w:bottom w:val="single" w:sz="4"/>
              <w:right w:val="single" w:sz="4"/>
            </w:tcBorders>
          </w:tcPr>
          <w:p>
            <w:pPr>
              <w:pStyle w:val="0"/>
            </w:pPr>
            <w:r>
              <w:rPr>
                <w:sz w:val="20"/>
              </w:rPr>
            </w:r>
          </w:p>
        </w:tc>
      </w:tr>
      <w:tr>
        <w:tc>
          <w:tcPr>
            <w:gridSpan w:val="4"/>
            <w:tcW w:w="6519" w:type="dxa"/>
            <w:tcBorders>
              <w:top w:val="nil"/>
              <w:left w:val="nil"/>
              <w:bottom w:val="nil"/>
              <w:right w:val="nil"/>
            </w:tcBorders>
          </w:tcPr>
          <w:p>
            <w:pPr>
              <w:pStyle w:val="0"/>
            </w:pPr>
            <w:r>
              <w:rPr>
                <w:sz w:val="20"/>
              </w:rPr>
            </w:r>
          </w:p>
        </w:tc>
        <w:tc>
          <w:tcPr>
            <w:tcW w:w="1474" w:type="dxa"/>
            <w:tcBorders>
              <w:top w:val="nil"/>
              <w:left w:val="nil"/>
              <w:bottom w:val="nil"/>
              <w:right w:val="single" w:sz="4"/>
            </w:tcBorders>
            <w:vMerge w:val="restart"/>
          </w:tcPr>
          <w:p>
            <w:pPr>
              <w:pStyle w:val="0"/>
              <w:jc w:val="right"/>
            </w:pPr>
            <w:r>
              <w:rPr>
                <w:sz w:val="20"/>
              </w:rPr>
              <w:t xml:space="preserve">Код по сводному реестру</w:t>
            </w:r>
          </w:p>
        </w:tc>
        <w:tc>
          <w:tcPr>
            <w:tcW w:w="1077" w:type="dxa"/>
            <w:tcBorders>
              <w:top w:val="single" w:sz="4"/>
              <w:left w:val="single" w:sz="4"/>
              <w:bottom w:val="single" w:sz="4"/>
              <w:right w:val="single" w:sz="4"/>
            </w:tcBorders>
            <w:vMerge w:val="restart"/>
          </w:tcPr>
          <w:p>
            <w:pPr>
              <w:pStyle w:val="0"/>
            </w:pPr>
            <w:r>
              <w:rPr>
                <w:sz w:val="20"/>
              </w:rPr>
            </w:r>
          </w:p>
        </w:tc>
      </w:tr>
      <w:tr>
        <w:tc>
          <w:tcPr>
            <w:tcW w:w="1928" w:type="dxa"/>
            <w:tcBorders>
              <w:top w:val="nil"/>
              <w:left w:val="nil"/>
              <w:bottom w:val="nil"/>
              <w:right w:val="nil"/>
            </w:tcBorders>
          </w:tcPr>
          <w:p>
            <w:pPr>
              <w:pStyle w:val="0"/>
            </w:pPr>
            <w:r>
              <w:rPr>
                <w:sz w:val="20"/>
              </w:rPr>
              <w:t xml:space="preserve">Наименование муниципального учреждения</w:t>
            </w:r>
          </w:p>
        </w:tc>
        <w:tc>
          <w:tcPr>
            <w:gridSpan w:val="3"/>
            <w:tcW w:w="4591" w:type="dxa"/>
            <w:tcBorders>
              <w:top w:val="nil"/>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c>
          <w:tcPr>
            <w:tcW w:w="1928" w:type="dxa"/>
            <w:tcBorders>
              <w:top w:val="nil"/>
              <w:left w:val="nil"/>
              <w:bottom w:val="nil"/>
              <w:right w:val="nil"/>
            </w:tcBorders>
          </w:tcPr>
          <w:p>
            <w:pPr>
              <w:pStyle w:val="0"/>
            </w:pPr>
            <w:r>
              <w:rPr>
                <w:sz w:val="20"/>
              </w:rPr>
              <w:t xml:space="preserve">Вид деятельности муниципального учреждения</w:t>
            </w:r>
          </w:p>
        </w:tc>
        <w:tc>
          <w:tcPr>
            <w:gridSpan w:val="3"/>
            <w:tcW w:w="4591" w:type="dxa"/>
            <w:tcBorders>
              <w:top w:val="single" w:sz="4"/>
              <w:left w:val="nil"/>
              <w:bottom w:val="single" w:sz="4"/>
              <w:right w:val="nil"/>
            </w:tcBorders>
          </w:tcPr>
          <w:p>
            <w:pPr>
              <w:pStyle w:val="0"/>
            </w:pPr>
            <w:r>
              <w:rPr>
                <w:sz w:val="20"/>
              </w:rPr>
            </w:r>
          </w:p>
        </w:tc>
        <w:tc>
          <w:tcPr>
            <w:tcW w:w="1474" w:type="dxa"/>
            <w:vAlign w:val="bottom"/>
            <w:tcBorders>
              <w:top w:val="nil"/>
              <w:left w:val="nil"/>
              <w:bottom w:val="nil"/>
              <w:right w:val="single" w:sz="4"/>
            </w:tcBorders>
          </w:tcPr>
          <w:p>
            <w:pPr>
              <w:pStyle w:val="0"/>
              <w:jc w:val="right"/>
            </w:pPr>
            <w:r>
              <w:rPr>
                <w:sz w:val="20"/>
              </w:rPr>
              <w:t xml:space="preserve">По </w:t>
            </w:r>
            <w:hyperlink w:history="0" r:id="rId27" w:tooltip="&quot;ОК 029-2014 (КДЕС Ред. 2). Общероссийский классификатор видов экономической деятельности&quot; (утв. Приказом Росстандарта от 31.01.2014 N 14-ст) (ред. от 07.07.2023) {КонсультантПлюс}">
              <w:r>
                <w:rPr>
                  <w:sz w:val="20"/>
                  <w:color w:val="0000ff"/>
                </w:rPr>
                <w:t xml:space="preserve">ОКВЭД</w:t>
              </w:r>
            </w:hyperlink>
          </w:p>
        </w:tc>
        <w:tc>
          <w:tcPr>
            <w:tcW w:w="1077" w:type="dxa"/>
            <w:tcBorders>
              <w:top w:val="single" w:sz="4"/>
              <w:left w:val="single" w:sz="4"/>
              <w:bottom w:val="single" w:sz="4"/>
              <w:right w:val="single" w:sz="4"/>
            </w:tcBorders>
          </w:tcPr>
          <w:p>
            <w:pPr>
              <w:pStyle w:val="0"/>
            </w:pPr>
            <w:r>
              <w:rPr>
                <w:sz w:val="20"/>
              </w:rPr>
            </w:r>
          </w:p>
        </w:tc>
      </w:tr>
      <w:tr>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single" w:sz="4"/>
              <w:right w:val="nil"/>
            </w:tcBorders>
          </w:tcPr>
          <w:p>
            <w:pPr>
              <w:pStyle w:val="0"/>
            </w:pPr>
            <w:r>
              <w:rPr>
                <w:sz w:val="20"/>
              </w:rPr>
            </w:r>
          </w:p>
        </w:tc>
        <w:tc>
          <w:tcPr>
            <w:tcW w:w="1474" w:type="dxa"/>
            <w:tcBorders>
              <w:top w:val="nil"/>
              <w:left w:val="nil"/>
              <w:bottom w:val="nil"/>
              <w:right w:val="single" w:sz="4"/>
            </w:tcBorders>
          </w:tcPr>
          <w:p>
            <w:pPr>
              <w:pStyle w:val="0"/>
              <w:jc w:val="right"/>
            </w:pPr>
            <w:r>
              <w:rPr>
                <w:sz w:val="20"/>
              </w:rPr>
              <w:t xml:space="preserve">По </w:t>
            </w:r>
            <w:hyperlink w:history="0" r:id="rId28" w:tooltip="&quot;ОК 029-2014 (КДЕС Ред. 2). Общероссийский классификатор видов экономической деятельности&quot; (утв. Приказом Росстандарта от 31.01.2014 N 14-ст) (ред. от 07.07.2023) {КонсультантПлюс}">
              <w:r>
                <w:rPr>
                  <w:sz w:val="20"/>
                  <w:color w:val="0000ff"/>
                </w:rPr>
                <w:t xml:space="preserve">ОКВЭД</w:t>
              </w:r>
            </w:hyperlink>
          </w:p>
        </w:tc>
        <w:tc>
          <w:tcPr>
            <w:tcW w:w="1077" w:type="dxa"/>
            <w:tcBorders>
              <w:top w:val="single" w:sz="4"/>
              <w:left w:val="single" w:sz="4"/>
              <w:bottom w:val="single" w:sz="4"/>
              <w:right w:val="single" w:sz="4"/>
            </w:tcBorders>
          </w:tcPr>
          <w:p>
            <w:pPr>
              <w:pStyle w:val="0"/>
            </w:pPr>
            <w:r>
              <w:rPr>
                <w:sz w:val="20"/>
              </w:rPr>
            </w:r>
          </w:p>
        </w:tc>
      </w:tr>
      <w:tr>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single" w:sz="4"/>
              <w:right w:val="nil"/>
            </w:tcBorders>
          </w:tcPr>
          <w:p>
            <w:pPr>
              <w:pStyle w:val="0"/>
            </w:pPr>
            <w:r>
              <w:rPr>
                <w:sz w:val="20"/>
              </w:rPr>
            </w:r>
          </w:p>
        </w:tc>
        <w:tc>
          <w:tcPr>
            <w:tcW w:w="1474" w:type="dxa"/>
            <w:tcBorders>
              <w:top w:val="nil"/>
              <w:left w:val="nil"/>
              <w:bottom w:val="nil"/>
              <w:right w:val="single" w:sz="4"/>
            </w:tcBorders>
          </w:tcPr>
          <w:p>
            <w:pPr>
              <w:pStyle w:val="0"/>
              <w:jc w:val="right"/>
            </w:pPr>
            <w:r>
              <w:rPr>
                <w:sz w:val="20"/>
              </w:rPr>
              <w:t xml:space="preserve">По </w:t>
            </w:r>
            <w:hyperlink w:history="0" r:id="rId29" w:tooltip="&quot;ОК 029-2014 (КДЕС Ред. 2). Общероссийский классификатор видов экономической деятельности&quot; (утв. Приказом Росстандарта от 31.01.2014 N 14-ст) (ред. от 07.07.2023) {КонсультантПлюс}">
              <w:r>
                <w:rPr>
                  <w:sz w:val="20"/>
                  <w:color w:val="0000ff"/>
                </w:rPr>
                <w:t xml:space="preserve">ОКВЭД</w:t>
              </w:r>
            </w:hyperlink>
          </w:p>
        </w:tc>
        <w:tc>
          <w:tcPr>
            <w:tcW w:w="1077" w:type="dxa"/>
            <w:tcBorders>
              <w:top w:val="single" w:sz="4"/>
              <w:left w:val="single" w:sz="4"/>
              <w:bottom w:val="single" w:sz="4"/>
              <w:right w:val="single" w:sz="4"/>
            </w:tcBorders>
          </w:tcPr>
          <w:p>
            <w:pPr>
              <w:pStyle w:val="0"/>
            </w:pPr>
            <w:r>
              <w:rPr>
                <w:sz w:val="20"/>
              </w:rPr>
            </w:r>
          </w:p>
        </w:tc>
      </w:tr>
      <w:tr>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single" w:sz="4"/>
              <w:right w:val="nil"/>
            </w:tcBorders>
          </w:tcPr>
          <w:p>
            <w:pPr>
              <w:pStyle w:val="0"/>
              <w:jc w:val="center"/>
            </w:pPr>
            <w:r>
              <w:rPr>
                <w:sz w:val="20"/>
              </w:rPr>
              <w:t xml:space="preserve">(указывается вид деятельности муниципального учреждения из общероссийского базового перечня или регионального перечня)</w:t>
            </w:r>
          </w:p>
        </w:tc>
        <w:tc>
          <w:tcPr>
            <w:tcW w:w="1474" w:type="dxa"/>
            <w:tcBorders>
              <w:top w:val="nil"/>
              <w:left w:val="nil"/>
              <w:bottom w:val="nil"/>
              <w:right w:val="single" w:sz="4"/>
            </w:tcBorders>
            <w:vMerge w:val="restart"/>
          </w:tcPr>
          <w:p>
            <w:pPr>
              <w:pStyle w:val="0"/>
            </w:pPr>
            <w:r>
              <w:rPr>
                <w:sz w:val="20"/>
              </w:rPr>
            </w:r>
          </w:p>
        </w:tc>
        <w:tc>
          <w:tcPr>
            <w:tcW w:w="1077" w:type="dxa"/>
            <w:tcBorders>
              <w:top w:val="single" w:sz="4"/>
              <w:left w:val="single" w:sz="4"/>
              <w:bottom w:val="single" w:sz="4"/>
              <w:right w:val="single" w:sz="4"/>
            </w:tcBorders>
            <w:vMerge w:val="restart"/>
          </w:tcPr>
          <w:p>
            <w:pPr>
              <w:pStyle w:val="0"/>
            </w:pPr>
            <w:r>
              <w:rPr>
                <w:sz w:val="20"/>
              </w:rPr>
            </w:r>
          </w:p>
        </w:tc>
      </w:tr>
      <w:tr>
        <w:tc>
          <w:tcPr>
            <w:tcW w:w="1928" w:type="dxa"/>
            <w:tcBorders>
              <w:top w:val="nil"/>
              <w:left w:val="nil"/>
              <w:bottom w:val="nil"/>
              <w:right w:val="nil"/>
            </w:tcBorders>
          </w:tcPr>
          <w:p>
            <w:pPr>
              <w:pStyle w:val="0"/>
            </w:pPr>
            <w:r>
              <w:rPr>
                <w:sz w:val="20"/>
              </w:rPr>
              <w:t xml:space="preserve">Периодичность</w:t>
            </w:r>
          </w:p>
        </w:tc>
        <w:tc>
          <w:tcPr>
            <w:gridSpan w:val="3"/>
            <w:tcW w:w="4591" w:type="dxa"/>
            <w:tcBorders>
              <w:top w:val="single" w:sz="4"/>
              <w:left w:val="nil"/>
              <w:bottom w:val="single" w:sz="4"/>
              <w:right w:val="nil"/>
            </w:tcBorders>
          </w:tcPr>
          <w:p>
            <w:pPr>
              <w:pStyle w:val="0"/>
            </w:pPr>
            <w:r>
              <w:rPr>
                <w:sz w:val="20"/>
              </w:rPr>
            </w:r>
          </w:p>
        </w:tc>
        <w:tc>
          <w:tcPr>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nil"/>
          </w:tblBorders>
        </w:tblPrEx>
        <w:tc>
          <w:tcPr>
            <w:tcW w:w="1928" w:type="dxa"/>
            <w:tcBorders>
              <w:top w:val="nil"/>
              <w:left w:val="nil"/>
              <w:bottom w:val="nil"/>
              <w:right w:val="nil"/>
            </w:tcBorders>
          </w:tcPr>
          <w:p>
            <w:pPr>
              <w:pStyle w:val="0"/>
            </w:pPr>
            <w:r>
              <w:rPr>
                <w:sz w:val="20"/>
              </w:rPr>
            </w:r>
          </w:p>
        </w:tc>
        <w:tc>
          <w:tcPr>
            <w:gridSpan w:val="3"/>
            <w:tcW w:w="4591" w:type="dxa"/>
            <w:tcBorders>
              <w:top w:val="single" w:sz="4"/>
              <w:left w:val="nil"/>
              <w:bottom w:val="nil"/>
              <w:right w:val="nil"/>
            </w:tcBorders>
          </w:tcPr>
          <w:p>
            <w:pPr>
              <w:pStyle w:val="0"/>
              <w:jc w:val="center"/>
            </w:pPr>
            <w:r>
              <w:rPr>
                <w:sz w:val="20"/>
              </w:rPr>
              <w:t xml:space="preserve">(указывается в соответствии с периодичностью представления отчета о выполнении муниципального задания, установленной в муниципальном задании)</w:t>
            </w:r>
          </w:p>
        </w:tc>
        <w:tc>
          <w:tcPr>
            <w:tcW w:w="1474" w:type="dxa"/>
            <w:tcBorders>
              <w:top w:val="nil"/>
              <w:left w:val="nil"/>
              <w:bottom w:val="nil"/>
              <w:right w:val="nil"/>
            </w:tcBorders>
          </w:tcPr>
          <w:p>
            <w:pPr>
              <w:pStyle w:val="0"/>
            </w:pPr>
            <w:r>
              <w:rPr>
                <w:sz w:val="20"/>
              </w:rPr>
            </w:r>
          </w:p>
        </w:tc>
        <w:tc>
          <w:tcPr>
            <w:tcW w:w="1077" w:type="dxa"/>
            <w:tcBorders>
              <w:top w:val="single" w:sz="4"/>
              <w:left w:val="nil"/>
              <w:bottom w:val="nil"/>
              <w:right w:val="nil"/>
            </w:tcBorders>
          </w:tcPr>
          <w:p>
            <w:pPr>
              <w:pStyle w:val="0"/>
            </w:pPr>
            <w:r>
              <w:rPr>
                <w:sz w:val="20"/>
              </w:rPr>
            </w:r>
          </w:p>
        </w:tc>
      </w:tr>
      <w:tr>
        <w:tblPrEx>
          <w:tblBorders>
            <w:right w:val="nil"/>
          </w:tblBorders>
        </w:tblPrEx>
        <w:tc>
          <w:tcPr>
            <w:gridSpan w:val="6"/>
            <w:tcW w:w="9070" w:type="dxa"/>
            <w:tcBorders>
              <w:top w:val="nil"/>
              <w:left w:val="nil"/>
              <w:bottom w:val="nil"/>
              <w:right w:val="nil"/>
            </w:tcBorders>
          </w:tcPr>
          <w:p>
            <w:pPr>
              <w:pStyle w:val="0"/>
            </w:pPr>
            <w:r>
              <w:rPr>
                <w:sz w:val="20"/>
              </w:rPr>
            </w:r>
          </w:p>
        </w:tc>
      </w:tr>
      <w:tr>
        <w:tblPrEx>
          <w:tblBorders>
            <w:right w:val="nil"/>
          </w:tblBorders>
        </w:tblPrEx>
        <w:tc>
          <w:tcPr>
            <w:gridSpan w:val="6"/>
            <w:tcW w:w="9070" w:type="dxa"/>
            <w:tcBorders>
              <w:top w:val="nil"/>
              <w:left w:val="nil"/>
              <w:bottom w:val="nil"/>
              <w:right w:val="nil"/>
            </w:tcBorders>
          </w:tcPr>
          <w:p>
            <w:pPr>
              <w:pStyle w:val="0"/>
              <w:outlineLvl w:val="2"/>
              <w:jc w:val="center"/>
            </w:pPr>
            <w:r>
              <w:rPr>
                <w:sz w:val="20"/>
              </w:rPr>
              <w:t xml:space="preserve">Часть I. Сведения об оказываемых муниципальных услугах </w:t>
            </w:r>
            <w:hyperlink w:history="0" w:anchor="P1206" w:tooltip="&lt;2&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&lt;2&gt;</w:t>
              </w:r>
            </w:hyperlink>
          </w:p>
        </w:tc>
      </w:tr>
      <w:tr>
        <w:tblPrEx>
          <w:tblBorders>
            <w:right w:val="nil"/>
          </w:tblBorders>
        </w:tblPrEx>
        <w:tc>
          <w:tcPr>
            <w:gridSpan w:val="6"/>
            <w:tcW w:w="9070" w:type="dxa"/>
            <w:tcBorders>
              <w:top w:val="nil"/>
              <w:left w:val="nil"/>
              <w:bottom w:val="nil"/>
              <w:right w:val="nil"/>
            </w:tcBorders>
          </w:tcPr>
          <w:p>
            <w:pPr>
              <w:pStyle w:val="0"/>
              <w:jc w:val="center"/>
            </w:pPr>
            <w:r>
              <w:rPr>
                <w:sz w:val="20"/>
              </w:rPr>
              <w:t xml:space="preserve">Раздел _________</w:t>
            </w:r>
          </w:p>
        </w:tc>
      </w:tr>
      <w:tr>
        <w:tblPrEx>
          <w:tblBorders>
            <w:right w:val="nil"/>
          </w:tblBorders>
        </w:tblPrEx>
        <w:tc>
          <w:tcPr>
            <w:gridSpan w:val="6"/>
            <w:tcW w:w="9070" w:type="dxa"/>
            <w:tcBorders>
              <w:top w:val="nil"/>
              <w:left w:val="nil"/>
              <w:bottom w:val="nil"/>
              <w:right w:val="nil"/>
            </w:tcBorders>
          </w:tcPr>
          <w:p>
            <w:pPr>
              <w:pStyle w:val="0"/>
            </w:pPr>
            <w:r>
              <w:rPr>
                <w:sz w:val="20"/>
              </w:rPr>
            </w:r>
          </w:p>
        </w:tc>
      </w:tr>
      <w:tr>
        <w:tc>
          <w:tcPr>
            <w:gridSpan w:val="3"/>
            <w:tcW w:w="6236" w:type="dxa"/>
            <w:tcBorders>
              <w:top w:val="nil"/>
              <w:left w:val="nil"/>
              <w:bottom w:val="nil"/>
              <w:right w:val="nil"/>
            </w:tcBorders>
          </w:tcPr>
          <w:p>
            <w:pPr>
              <w:pStyle w:val="0"/>
            </w:pPr>
            <w:r>
              <w:rPr>
                <w:sz w:val="20"/>
              </w:rPr>
            </w:r>
          </w:p>
        </w:tc>
        <w:tc>
          <w:tcPr>
            <w:gridSpan w:val="2"/>
            <w:tcW w:w="1757" w:type="dxa"/>
            <w:tcBorders>
              <w:top w:val="nil"/>
              <w:left w:val="nil"/>
              <w:bottom w:val="nil"/>
              <w:right w:val="single" w:sz="4"/>
            </w:tcBorders>
            <w:vMerge w:val="restart"/>
          </w:tcPr>
          <w:p>
            <w:pPr>
              <w:pStyle w:val="0"/>
              <w:jc w:val="right"/>
            </w:pPr>
            <w:r>
              <w:rPr>
                <w:sz w:val="20"/>
              </w:rPr>
              <w:t xml:space="preserve">Код по общероссийскому базовому перечню или региональному перечню</w:t>
            </w:r>
          </w:p>
        </w:tc>
        <w:tc>
          <w:tcPr>
            <w:tcW w:w="1077" w:type="dxa"/>
            <w:tcBorders>
              <w:top w:val="single" w:sz="4"/>
              <w:left w:val="single" w:sz="4"/>
              <w:bottom w:val="single" w:sz="4"/>
              <w:right w:val="single" w:sz="4"/>
            </w:tcBorders>
            <w:vMerge w:val="restart"/>
          </w:tcPr>
          <w:p>
            <w:pPr>
              <w:pStyle w:val="0"/>
            </w:pPr>
            <w:r>
              <w:rPr>
                <w:sz w:val="20"/>
              </w:rPr>
            </w:r>
          </w:p>
        </w:tc>
      </w:tr>
      <w:tr>
        <w:tc>
          <w:tcPr>
            <w:tcW w:w="1928" w:type="dxa"/>
            <w:tcBorders>
              <w:top w:val="nil"/>
              <w:left w:val="nil"/>
              <w:bottom w:val="nil"/>
              <w:right w:val="nil"/>
            </w:tcBorders>
          </w:tcPr>
          <w:p>
            <w:pPr>
              <w:pStyle w:val="0"/>
            </w:pPr>
            <w:r>
              <w:rPr>
                <w:sz w:val="20"/>
              </w:rPr>
              <w:t xml:space="preserve">1. Наименование муниципальной услуги</w:t>
            </w:r>
          </w:p>
        </w:tc>
        <w:tc>
          <w:tcPr>
            <w:gridSpan w:val="2"/>
            <w:tcW w:w="4308" w:type="dxa"/>
            <w:tcBorders>
              <w:top w:val="nil"/>
              <w:left w:val="nil"/>
              <w:bottom w:val="single" w:sz="4"/>
              <w:right w:val="nil"/>
            </w:tcBorders>
          </w:tcPr>
          <w:p>
            <w:pPr>
              <w:pStyle w:val="0"/>
            </w:pPr>
            <w:r>
              <w:rPr>
                <w:sz w:val="20"/>
              </w:rPr>
            </w:r>
          </w:p>
        </w:tc>
        <w:tc>
          <w:tcPr>
            <w:gridSpan w:val="2"/>
            <w:tcBorders>
              <w:top w:val="nil"/>
              <w:left w:val="nil"/>
              <w:bottom w:val="nil"/>
              <w:right w:val="single" w:sz="4"/>
            </w:tcBorders>
            <w:vMerge w:val="continue"/>
          </w:tcPr>
          <w:p/>
        </w:tc>
        <w:tc>
          <w:tcPr>
            <w:tcBorders>
              <w:top w:val="single" w:sz="4"/>
              <w:left w:val="single" w:sz="4"/>
              <w:bottom w:val="single" w:sz="4"/>
              <w:right w:val="single" w:sz="4"/>
            </w:tcBorders>
            <w:vMerge w:val="continue"/>
          </w:tcPr>
          <w:p/>
        </w:tc>
      </w:tr>
      <w:tr>
        <w:tblPrEx>
          <w:tblBorders>
            <w:right w:val="nil"/>
          </w:tblBorders>
        </w:tblPrEx>
        <w:tc>
          <w:tcPr>
            <w:tcW w:w="1928" w:type="dxa"/>
            <w:tcBorders>
              <w:top w:val="nil"/>
              <w:left w:val="nil"/>
              <w:bottom w:val="nil"/>
              <w:right w:val="nil"/>
            </w:tcBorders>
          </w:tcPr>
          <w:p>
            <w:pPr>
              <w:pStyle w:val="0"/>
            </w:pPr>
            <w:r>
              <w:rPr>
                <w:sz w:val="20"/>
              </w:rPr>
              <w:t xml:space="preserve">2. Категории потребителей муниципальной услуги</w:t>
            </w:r>
          </w:p>
        </w:tc>
        <w:tc>
          <w:tcPr>
            <w:gridSpan w:val="2"/>
            <w:tcW w:w="4308" w:type="dxa"/>
            <w:tcBorders>
              <w:top w:val="single" w:sz="4"/>
              <w:left w:val="nil"/>
              <w:bottom w:val="single" w:sz="4"/>
              <w:right w:val="nil"/>
            </w:tcBorders>
          </w:tcPr>
          <w:p>
            <w:pPr>
              <w:pStyle w:val="0"/>
            </w:pPr>
            <w:r>
              <w:rPr>
                <w:sz w:val="20"/>
              </w:rPr>
            </w:r>
          </w:p>
        </w:tc>
        <w:tc>
          <w:tcPr>
            <w:gridSpan w:val="2"/>
            <w:tcW w:w="1757" w:type="dxa"/>
            <w:tcBorders>
              <w:top w:val="nil"/>
              <w:left w:val="nil"/>
              <w:bottom w:val="nil"/>
              <w:right w:val="nil"/>
            </w:tcBorders>
          </w:tcPr>
          <w:p>
            <w:pPr>
              <w:pStyle w:val="0"/>
            </w:pPr>
            <w:r>
              <w:rPr>
                <w:sz w:val="20"/>
              </w:rPr>
            </w:r>
          </w:p>
        </w:tc>
        <w:tc>
          <w:tcPr>
            <w:tcW w:w="1077" w:type="dxa"/>
            <w:tcBorders>
              <w:top w:val="single" w:sz="4"/>
              <w:left w:val="nil"/>
              <w:bottom w:val="nil"/>
              <w:right w:val="nil"/>
            </w:tcBorders>
          </w:tcPr>
          <w:p>
            <w:pPr>
              <w:pStyle w:val="0"/>
            </w:pPr>
            <w:r>
              <w:rPr>
                <w:sz w:val="20"/>
              </w:rPr>
            </w:r>
          </w:p>
        </w:tc>
      </w:tr>
      <w:tr>
        <w:tblPrEx>
          <w:tblBorders>
            <w:right w:val="nil"/>
          </w:tblBorders>
        </w:tblPrEx>
        <w:tc>
          <w:tcPr>
            <w:tcW w:w="1928" w:type="dxa"/>
            <w:tcBorders>
              <w:top w:val="nil"/>
              <w:left w:val="nil"/>
              <w:bottom w:val="nil"/>
              <w:right w:val="nil"/>
            </w:tcBorders>
          </w:tcPr>
          <w:p>
            <w:pPr>
              <w:pStyle w:val="0"/>
            </w:pPr>
            <w:r>
              <w:rPr>
                <w:sz w:val="20"/>
              </w:rPr>
            </w:r>
          </w:p>
        </w:tc>
        <w:tc>
          <w:tcPr>
            <w:gridSpan w:val="2"/>
            <w:tcW w:w="4308" w:type="dxa"/>
            <w:tcBorders>
              <w:top w:val="single" w:sz="4"/>
              <w:left w:val="nil"/>
              <w:bottom w:val="single" w:sz="4"/>
              <w:right w:val="nil"/>
            </w:tcBorders>
          </w:tcPr>
          <w:p>
            <w:pPr>
              <w:pStyle w:val="0"/>
            </w:pPr>
            <w:r>
              <w:rPr>
                <w:sz w:val="20"/>
              </w:rPr>
            </w:r>
          </w:p>
        </w:tc>
        <w:tc>
          <w:tcPr>
            <w:gridSpan w:val="2"/>
            <w:tcW w:w="1757" w:type="dxa"/>
            <w:tcBorders>
              <w:top w:val="nil"/>
              <w:left w:val="nil"/>
              <w:bottom w:val="nil"/>
              <w:right w:val="nil"/>
            </w:tcBorders>
          </w:tcPr>
          <w:p>
            <w:pPr>
              <w:pStyle w:val="0"/>
            </w:pPr>
            <w:r>
              <w:rPr>
                <w:sz w:val="20"/>
              </w:rPr>
            </w:r>
          </w:p>
        </w:tc>
        <w:tc>
          <w:tcPr>
            <w:tcW w:w="1077"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Сведения о фактическом достижении показателей, характеризующих объем и (или) качество муниципальной услуги</w:t>
      </w:r>
    </w:p>
    <w:p>
      <w:pPr>
        <w:pStyle w:val="0"/>
        <w:spacing w:before="200" w:line-rule="auto"/>
        <w:jc w:val="both"/>
      </w:pPr>
      <w:r>
        <w:rPr>
          <w:sz w:val="20"/>
        </w:rPr>
        <w:t xml:space="preserve">3.1. Сведения о фактическом достижении показателей, характеризующих качество муниципальной услуги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964"/>
        <w:gridCol w:w="769"/>
        <w:gridCol w:w="1020"/>
        <w:gridCol w:w="1134"/>
        <w:gridCol w:w="907"/>
        <w:gridCol w:w="955"/>
        <w:gridCol w:w="1191"/>
        <w:gridCol w:w="850"/>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муниципальной услуги</w:t>
            </w:r>
          </w:p>
        </w:tc>
        <w:tc>
          <w:tcPr>
            <w:gridSpan w:val="2"/>
            <w:tcW w:w="2027" w:type="dxa"/>
            <w:vMerge w:val="restart"/>
          </w:tcPr>
          <w:p>
            <w:pPr>
              <w:pStyle w:val="0"/>
              <w:jc w:val="center"/>
            </w:pPr>
            <w:r>
              <w:rPr>
                <w:sz w:val="20"/>
              </w:rPr>
              <w:t xml:space="preserve">Показатель, характеризующий условия (формы) оказания муниципальной услуги</w:t>
            </w:r>
          </w:p>
        </w:tc>
        <w:tc>
          <w:tcPr>
            <w:gridSpan w:val="9"/>
            <w:tcW w:w="8749" w:type="dxa"/>
          </w:tcPr>
          <w:p>
            <w:pPr>
              <w:pStyle w:val="0"/>
              <w:jc w:val="center"/>
            </w:pPr>
            <w:r>
              <w:rPr>
                <w:sz w:val="20"/>
              </w:rPr>
              <w:t xml:space="preserve">Показатель качества муниципальной услуги</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733" w:type="dxa"/>
          </w:tcPr>
          <w:p>
            <w:pPr>
              <w:pStyle w:val="0"/>
              <w:jc w:val="center"/>
            </w:pPr>
            <w:r>
              <w:rPr>
                <w:sz w:val="20"/>
              </w:rPr>
              <w:t xml:space="preserve">Единица измерения</w:t>
            </w:r>
          </w:p>
        </w:tc>
        <w:tc>
          <w:tcPr>
            <w:gridSpan w:val="3"/>
            <w:tcW w:w="3061" w:type="dxa"/>
          </w:tcPr>
          <w:p>
            <w:pPr>
              <w:pStyle w:val="0"/>
              <w:jc w:val="center"/>
            </w:pPr>
            <w:r>
              <w:rPr>
                <w:sz w:val="20"/>
              </w:rPr>
              <w:t xml:space="preserve">Значение</w:t>
            </w:r>
          </w:p>
        </w:tc>
        <w:tc>
          <w:tcPr>
            <w:tcW w:w="955"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191"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850" w:type="dxa"/>
            <w:vMerge w:val="restart"/>
          </w:tcPr>
          <w:p>
            <w:pPr>
              <w:pStyle w:val="0"/>
              <w:jc w:val="center"/>
            </w:pPr>
            <w:r>
              <w:rPr>
                <w:sz w:val="20"/>
              </w:rPr>
              <w:t xml:space="preserve">Причина отклонения</w:t>
            </w: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964"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0"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020"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964"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955" w:type="dxa"/>
          </w:tcPr>
          <w:p>
            <w:pPr>
              <w:pStyle w:val="0"/>
              <w:jc w:val="center"/>
            </w:pPr>
            <w:r>
              <w:rPr>
                <w:sz w:val="20"/>
              </w:rPr>
              <w:t xml:space="preserve">13</w:t>
            </w:r>
          </w:p>
        </w:tc>
        <w:tc>
          <w:tcPr>
            <w:tcW w:w="1191" w:type="dxa"/>
          </w:tcPr>
          <w:p>
            <w:pPr>
              <w:pStyle w:val="0"/>
              <w:jc w:val="center"/>
            </w:pPr>
            <w:r>
              <w:rPr>
                <w:sz w:val="20"/>
              </w:rPr>
              <w:t xml:space="preserve">14</w:t>
            </w:r>
          </w:p>
        </w:tc>
        <w:tc>
          <w:tcPr>
            <w:tcW w:w="850" w:type="dxa"/>
          </w:tcPr>
          <w:p>
            <w:pPr>
              <w:pStyle w:val="0"/>
              <w:jc w:val="center"/>
            </w:pPr>
            <w:r>
              <w:rPr>
                <w:sz w:val="20"/>
              </w:rPr>
              <w:t xml:space="preserve">15</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55" w:type="dxa"/>
          </w:tcPr>
          <w:p>
            <w:pPr>
              <w:pStyle w:val="0"/>
            </w:pPr>
            <w:r>
              <w:rPr>
                <w:sz w:val="20"/>
              </w:rPr>
            </w:r>
          </w:p>
        </w:tc>
        <w:tc>
          <w:tcPr>
            <w:tcW w:w="1191"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55" w:type="dxa"/>
          </w:tcPr>
          <w:p>
            <w:pPr>
              <w:pStyle w:val="0"/>
            </w:pPr>
            <w:r>
              <w:rPr>
                <w:sz w:val="20"/>
              </w:rPr>
            </w:r>
          </w:p>
        </w:tc>
        <w:tc>
          <w:tcPr>
            <w:tcW w:w="1191"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55" w:type="dxa"/>
          </w:tcPr>
          <w:p>
            <w:pPr>
              <w:pStyle w:val="0"/>
            </w:pPr>
            <w:r>
              <w:rPr>
                <w:sz w:val="20"/>
              </w:rPr>
            </w:r>
          </w:p>
        </w:tc>
        <w:tc>
          <w:tcPr>
            <w:tcW w:w="1191" w:type="dxa"/>
          </w:tcPr>
          <w:p>
            <w:pPr>
              <w:pStyle w:val="0"/>
            </w:pPr>
            <w:r>
              <w:rPr>
                <w:sz w:val="20"/>
              </w:rPr>
            </w:r>
          </w:p>
        </w:tc>
        <w:tc>
          <w:tcPr>
            <w:tcW w:w="850" w:type="dxa"/>
          </w:tcPr>
          <w:p>
            <w:pPr>
              <w:pStyle w:val="0"/>
            </w:pPr>
            <w:r>
              <w:rPr>
                <w:sz w:val="20"/>
              </w:rPr>
            </w:r>
          </w:p>
        </w:tc>
      </w:tr>
    </w:tbl>
    <w:p>
      <w:pPr>
        <w:pStyle w:val="0"/>
        <w:jc w:val="both"/>
      </w:pPr>
      <w:r>
        <w:rPr>
          <w:sz w:val="20"/>
        </w:rPr>
      </w:r>
    </w:p>
    <w:p>
      <w:pPr>
        <w:pStyle w:val="0"/>
        <w:jc w:val="both"/>
      </w:pPr>
      <w:r>
        <w:rPr>
          <w:sz w:val="20"/>
        </w:rPr>
        <w:t xml:space="preserve">3.2. Показатели, характеризующие объем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737"/>
        <w:gridCol w:w="769"/>
        <w:gridCol w:w="1020"/>
        <w:gridCol w:w="1134"/>
        <w:gridCol w:w="907"/>
        <w:gridCol w:w="907"/>
        <w:gridCol w:w="1020"/>
        <w:gridCol w:w="850"/>
        <w:gridCol w:w="1077"/>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муниципальной услуги</w:t>
            </w:r>
          </w:p>
        </w:tc>
        <w:tc>
          <w:tcPr>
            <w:gridSpan w:val="2"/>
            <w:tcW w:w="2027" w:type="dxa"/>
            <w:vMerge w:val="restart"/>
          </w:tcPr>
          <w:p>
            <w:pPr>
              <w:pStyle w:val="0"/>
              <w:jc w:val="center"/>
            </w:pPr>
            <w:r>
              <w:rPr>
                <w:sz w:val="20"/>
              </w:rPr>
              <w:t xml:space="preserve">Показатель, характеризующий условия (формы) оказания муниципальной услуги</w:t>
            </w:r>
          </w:p>
        </w:tc>
        <w:tc>
          <w:tcPr>
            <w:gridSpan w:val="9"/>
            <w:tcW w:w="8303" w:type="dxa"/>
          </w:tcPr>
          <w:p>
            <w:pPr>
              <w:pStyle w:val="0"/>
              <w:jc w:val="center"/>
            </w:pPr>
            <w:r>
              <w:rPr>
                <w:sz w:val="20"/>
              </w:rPr>
              <w:t xml:space="preserve">Показатель качества муниципальной услуги</w:t>
            </w:r>
          </w:p>
        </w:tc>
        <w:tc>
          <w:tcPr>
            <w:tcW w:w="1077" w:type="dxa"/>
            <w:vMerge w:val="restart"/>
          </w:tcPr>
          <w:p>
            <w:pPr>
              <w:pStyle w:val="0"/>
              <w:jc w:val="center"/>
            </w:pPr>
            <w:r>
              <w:rPr>
                <w:sz w:val="20"/>
              </w:rPr>
              <w:t xml:space="preserve">Средний размер платы (цена, тариф)</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506" w:type="dxa"/>
          </w:tcPr>
          <w:p>
            <w:pPr>
              <w:pStyle w:val="0"/>
              <w:jc w:val="center"/>
            </w:pPr>
            <w:r>
              <w:rPr>
                <w:sz w:val="20"/>
              </w:rPr>
              <w:t xml:space="preserve">Единица измерения</w:t>
            </w:r>
          </w:p>
        </w:tc>
        <w:tc>
          <w:tcPr>
            <w:gridSpan w:val="3"/>
            <w:tcW w:w="3061" w:type="dxa"/>
          </w:tcPr>
          <w:p>
            <w:pPr>
              <w:pStyle w:val="0"/>
              <w:jc w:val="center"/>
            </w:pPr>
            <w:r>
              <w:rPr>
                <w:sz w:val="20"/>
              </w:rPr>
              <w:t xml:space="preserve">Значение</w:t>
            </w:r>
          </w:p>
        </w:tc>
        <w:tc>
          <w:tcPr>
            <w:tcW w:w="907"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020"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850" w:type="dxa"/>
            <w:vMerge w:val="restart"/>
          </w:tcPr>
          <w:p>
            <w:pPr>
              <w:pStyle w:val="0"/>
              <w:jc w:val="center"/>
            </w:pPr>
            <w:r>
              <w:rPr>
                <w:sz w:val="20"/>
              </w:rPr>
              <w:t xml:space="preserve">Причина отклонения</w:t>
            </w:r>
          </w:p>
        </w:tc>
        <w:tc>
          <w:tcPr>
            <w:vMerge w:val="continue"/>
          </w:tcP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737"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1"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020"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737"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907" w:type="dxa"/>
          </w:tcPr>
          <w:p>
            <w:pPr>
              <w:pStyle w:val="0"/>
              <w:jc w:val="center"/>
            </w:pPr>
            <w:r>
              <w:rPr>
                <w:sz w:val="20"/>
              </w:rPr>
              <w:t xml:space="preserve">13</w:t>
            </w:r>
          </w:p>
        </w:tc>
        <w:tc>
          <w:tcPr>
            <w:tcW w:w="1020" w:type="dxa"/>
          </w:tcPr>
          <w:p>
            <w:pPr>
              <w:pStyle w:val="0"/>
              <w:jc w:val="center"/>
            </w:pPr>
            <w:r>
              <w:rPr>
                <w:sz w:val="20"/>
              </w:rPr>
              <w:t xml:space="preserve">14</w:t>
            </w:r>
          </w:p>
        </w:tc>
        <w:tc>
          <w:tcPr>
            <w:tcW w:w="850" w:type="dxa"/>
          </w:tcPr>
          <w:p>
            <w:pPr>
              <w:pStyle w:val="0"/>
              <w:jc w:val="center"/>
            </w:pPr>
            <w:r>
              <w:rPr>
                <w:sz w:val="20"/>
              </w:rPr>
              <w:t xml:space="preserve">15</w:t>
            </w:r>
          </w:p>
        </w:tc>
        <w:tc>
          <w:tcPr>
            <w:tcW w:w="1077" w:type="dxa"/>
          </w:tcPr>
          <w:p>
            <w:pPr>
              <w:pStyle w:val="0"/>
              <w:jc w:val="center"/>
            </w:pPr>
            <w:r>
              <w:rPr>
                <w:sz w:val="20"/>
              </w:rPr>
              <w:t xml:space="preserve">16</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1077"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1077"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1077"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p>
      <w:pPr>
        <w:pStyle w:val="0"/>
        <w:outlineLvl w:val="2"/>
        <w:jc w:val="center"/>
      </w:pPr>
      <w:r>
        <w:rPr>
          <w:sz w:val="20"/>
        </w:rPr>
        <w:t xml:space="preserve">Часть II. Сведения о выполняемых работах </w:t>
      </w:r>
      <w:hyperlink w:history="0" w:anchor="P1206" w:tooltip="&lt;2&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r>
          <w:rPr>
            <w:sz w:val="20"/>
            <w:color w:val="0000ff"/>
          </w:rPr>
          <w:t xml:space="preserve">&lt;2&gt;</w:t>
        </w:r>
      </w:hyperlink>
    </w:p>
    <w:p>
      <w:pPr>
        <w:pStyle w:val="0"/>
        <w:jc w:val="both"/>
      </w:pPr>
      <w:r>
        <w:rPr>
          <w:sz w:val="20"/>
        </w:rPr>
      </w:r>
    </w:p>
    <w:p>
      <w:pPr>
        <w:pStyle w:val="0"/>
        <w:jc w:val="center"/>
      </w:pPr>
      <w:r>
        <w:rPr>
          <w:sz w:val="20"/>
        </w:rPr>
        <w:t xml:space="preserve">Раздел _________</w:t>
      </w:r>
    </w:p>
    <w:p>
      <w:pPr>
        <w:pStyle w:val="0"/>
        <w:jc w:val="both"/>
      </w:pPr>
      <w:r>
        <w:rPr>
          <w:sz w:val="20"/>
        </w:rPr>
      </w:r>
    </w:p>
    <w:tbl>
      <w:tblPr>
        <w:tblInd w:w="0" w:type="dxa"/>
        <w:tblLayout w:type="fixed"/>
        <w:tblCellMar>
          <w:top w:w="102" w:type="dxa"/>
          <w:left w:w="62" w:type="dxa"/>
          <w:bottom w:w="102" w:type="dxa"/>
          <w:right w:w="62" w:type="dxa"/>
        </w:tblCellMar>
      </w:tblPr>
      <w:tblGrid>
        <w:gridCol w:w="2778"/>
        <w:gridCol w:w="1002"/>
        <w:gridCol w:w="2608"/>
        <w:gridCol w:w="1701"/>
        <w:gridCol w:w="964"/>
      </w:tblGrid>
      <w:tr>
        <w:tblPrEx>
          <w:tblBorders>
            <w:right w:val="single" w:sz="4"/>
          </w:tblBorders>
        </w:tblPrEx>
        <w:tc>
          <w:tcPr>
            <w:gridSpan w:val="3"/>
            <w:tcW w:w="6388" w:type="dxa"/>
            <w:tcBorders>
              <w:top w:val="nil"/>
              <w:left w:val="nil"/>
              <w:bottom w:val="nil"/>
              <w:right w:val="nil"/>
            </w:tcBorders>
          </w:tcPr>
          <w:p>
            <w:pPr>
              <w:pStyle w:val="0"/>
            </w:pPr>
            <w:r>
              <w:rPr>
                <w:sz w:val="20"/>
              </w:rPr>
            </w:r>
          </w:p>
        </w:tc>
        <w:tc>
          <w:tcPr>
            <w:tcW w:w="1701" w:type="dxa"/>
            <w:tcBorders>
              <w:top w:val="nil"/>
              <w:left w:val="nil"/>
              <w:bottom w:val="nil"/>
              <w:right w:val="nil"/>
            </w:tcBorders>
            <w:vMerge w:val="restart"/>
          </w:tcPr>
          <w:p>
            <w:pPr>
              <w:pStyle w:val="0"/>
              <w:jc w:val="right"/>
            </w:pPr>
            <w:r>
              <w:rPr>
                <w:sz w:val="20"/>
              </w:rPr>
              <w:t xml:space="preserve">Код по общероссийскому базовому перечню или региональному перечню</w:t>
            </w:r>
          </w:p>
        </w:tc>
        <w:tc>
          <w:tcPr>
            <w:tcW w:w="964" w:type="dxa"/>
            <w:tcBorders>
              <w:top w:val="single" w:sz="4"/>
              <w:left w:val="single" w:sz="4"/>
              <w:bottom w:val="single" w:sz="4"/>
              <w:right w:val="single" w:sz="4"/>
            </w:tcBorders>
            <w:vMerge w:val="restart"/>
          </w:tcPr>
          <w:p>
            <w:pPr>
              <w:pStyle w:val="0"/>
            </w:pPr>
            <w:r>
              <w:rPr>
                <w:sz w:val="20"/>
              </w:rPr>
            </w:r>
          </w:p>
        </w:tc>
      </w:tr>
      <w:tr>
        <w:tblPrEx>
          <w:tblBorders>
            <w:right w:val="single" w:sz="4"/>
          </w:tblBorders>
        </w:tblPrEx>
        <w:tc>
          <w:tcPr>
            <w:tcW w:w="2778" w:type="dxa"/>
            <w:tcBorders>
              <w:top w:val="nil"/>
              <w:left w:val="nil"/>
              <w:bottom w:val="nil"/>
              <w:right w:val="nil"/>
            </w:tcBorders>
            <w:vMerge w:val="restart"/>
          </w:tcPr>
          <w:p>
            <w:pPr>
              <w:pStyle w:val="0"/>
            </w:pPr>
            <w:r>
              <w:rPr>
                <w:sz w:val="20"/>
              </w:rPr>
              <w:t xml:space="preserve">1. Наименование работы</w:t>
            </w:r>
          </w:p>
        </w:tc>
        <w:tc>
          <w:tcPr>
            <w:gridSpan w:val="2"/>
            <w:tcW w:w="3610" w:type="dxa"/>
            <w:tcBorders>
              <w:top w:val="nil"/>
              <w:left w:val="nil"/>
              <w:bottom w:val="single" w:sz="4"/>
              <w:right w:val="nil"/>
            </w:tcBorders>
          </w:tcPr>
          <w:p>
            <w:pPr>
              <w:pStyle w:val="0"/>
            </w:pPr>
            <w:r>
              <w:rPr>
                <w:sz w:val="20"/>
              </w:rPr>
            </w:r>
          </w:p>
        </w:tc>
        <w:tc>
          <w:tcPr>
            <w:tcBorders>
              <w:top w:val="nil"/>
              <w:left w:val="nil"/>
              <w:bottom w:val="nil"/>
              <w:right w:val="nil"/>
            </w:tcBorders>
            <w:vMerge w:val="continue"/>
          </w:tcPr>
          <w:p/>
        </w:tc>
        <w:tc>
          <w:tcPr>
            <w:tcBorders>
              <w:top w:val="single" w:sz="4"/>
              <w:left w:val="single" w:sz="4"/>
              <w:bottom w:val="single" w:sz="4"/>
              <w:right w:val="single" w:sz="4"/>
            </w:tcBorders>
            <w:vMerge w:val="continue"/>
          </w:tcPr>
          <w:p/>
        </w:tc>
      </w:tr>
      <w:tr>
        <w:tblPrEx>
          <w:tblBorders>
            <w:insideH w:val="single" w:sz="4"/>
          </w:tblBorders>
        </w:tblPrEx>
        <w:tc>
          <w:tcPr>
            <w:tcBorders>
              <w:top w:val="nil"/>
              <w:left w:val="nil"/>
              <w:bottom w:val="nil"/>
              <w:right w:val="nil"/>
            </w:tcBorders>
            <w:vMerge w:val="continue"/>
          </w:tcPr>
          <w:p/>
        </w:tc>
        <w:tc>
          <w:tcPr>
            <w:gridSpan w:val="2"/>
            <w:tcW w:w="3610" w:type="dxa"/>
            <w:tcBorders>
              <w:top w:val="single" w:sz="4"/>
              <w:left w:val="nil"/>
              <w:bottom w:val="single" w:sz="4"/>
              <w:right w:val="nil"/>
            </w:tcBorders>
          </w:tcPr>
          <w:p>
            <w:pPr>
              <w:pStyle w:val="0"/>
            </w:pPr>
            <w:r>
              <w:rPr>
                <w:sz w:val="20"/>
              </w:rPr>
            </w:r>
          </w:p>
        </w:tc>
        <w:tc>
          <w:tcPr>
            <w:tcBorders>
              <w:top w:val="nil"/>
              <w:left w:val="nil"/>
              <w:bottom w:val="nil"/>
              <w:right w:val="nil"/>
            </w:tcBorders>
            <w:vMerge w:val="continue"/>
          </w:tcPr>
          <w:p/>
        </w:tc>
        <w:tc>
          <w:tcPr>
            <w:tcW w:w="964" w:type="dxa"/>
            <w:tcBorders>
              <w:top w:val="single" w:sz="4"/>
              <w:left w:val="nil"/>
              <w:bottom w:val="nil"/>
              <w:right w:val="nil"/>
            </w:tcBorders>
          </w:tcPr>
          <w:p>
            <w:pPr>
              <w:pStyle w:val="0"/>
            </w:pPr>
            <w:r>
              <w:rPr>
                <w:sz w:val="20"/>
              </w:rPr>
            </w:r>
          </w:p>
        </w:tc>
      </w:tr>
      <w:tr>
        <w:tc>
          <w:tcPr>
            <w:gridSpan w:val="2"/>
            <w:tcW w:w="3780" w:type="dxa"/>
            <w:tcBorders>
              <w:top w:val="nil"/>
              <w:left w:val="nil"/>
              <w:bottom w:val="nil"/>
              <w:right w:val="nil"/>
            </w:tcBorders>
          </w:tcPr>
          <w:p>
            <w:pPr>
              <w:pStyle w:val="0"/>
            </w:pPr>
            <w:r>
              <w:rPr>
                <w:sz w:val="20"/>
              </w:rPr>
              <w:t xml:space="preserve">2. Категории потребителей работы</w:t>
            </w:r>
          </w:p>
        </w:tc>
        <w:tc>
          <w:tcPr>
            <w:tcW w:w="2608" w:type="dxa"/>
            <w:tcBorders>
              <w:top w:val="single" w:sz="4"/>
              <w:left w:val="nil"/>
              <w:bottom w:val="single" w:sz="4"/>
              <w:right w:val="nil"/>
            </w:tcBorders>
          </w:tcPr>
          <w:p>
            <w:pPr>
              <w:pStyle w:val="0"/>
            </w:pPr>
            <w:r>
              <w:rPr>
                <w:sz w:val="20"/>
              </w:rPr>
            </w:r>
          </w:p>
        </w:tc>
        <w:tc>
          <w:tcPr>
            <w:tcBorders>
              <w:top w:val="nil"/>
              <w:left w:val="nil"/>
              <w:bottom w:val="nil"/>
              <w:right w:val="nil"/>
            </w:tcBorders>
            <w:vMerge w:val="continue"/>
          </w:tcPr>
          <w:p/>
        </w:tc>
        <w:tc>
          <w:tcPr>
            <w:tcW w:w="964" w:type="dxa"/>
            <w:tcBorders>
              <w:top w:val="nil"/>
              <w:left w:val="nil"/>
              <w:bottom w:val="nil"/>
              <w:right w:val="nil"/>
            </w:tcBorders>
          </w:tcPr>
          <w:p>
            <w:pPr>
              <w:pStyle w:val="0"/>
            </w:pPr>
            <w:r>
              <w:rPr>
                <w:sz w:val="20"/>
              </w:rPr>
            </w:r>
          </w:p>
        </w:tc>
      </w:tr>
      <w:tr>
        <w:tc>
          <w:tcPr>
            <w:gridSpan w:val="2"/>
            <w:tcW w:w="3780" w:type="dxa"/>
            <w:tcBorders>
              <w:top w:val="nil"/>
              <w:left w:val="nil"/>
              <w:bottom w:val="nil"/>
              <w:right w:val="nil"/>
            </w:tcBorders>
          </w:tcPr>
          <w:p>
            <w:pPr>
              <w:pStyle w:val="0"/>
            </w:pPr>
            <w:r>
              <w:rPr>
                <w:sz w:val="20"/>
              </w:rPr>
            </w:r>
          </w:p>
        </w:tc>
        <w:tc>
          <w:tcPr>
            <w:tcW w:w="2608" w:type="dxa"/>
            <w:tcBorders>
              <w:top w:val="single" w:sz="4"/>
              <w:left w:val="nil"/>
              <w:bottom w:val="single" w:sz="4"/>
              <w:right w:val="nil"/>
            </w:tcBorders>
          </w:tcPr>
          <w:p>
            <w:pPr>
              <w:pStyle w:val="0"/>
            </w:pPr>
            <w:r>
              <w:rPr>
                <w:sz w:val="20"/>
              </w:rPr>
            </w:r>
          </w:p>
        </w:tc>
        <w:tc>
          <w:tcPr>
            <w:tcBorders>
              <w:top w:val="nil"/>
              <w:left w:val="nil"/>
              <w:bottom w:val="nil"/>
              <w:right w:val="nil"/>
            </w:tcBorders>
            <w:vMerge w:val="continue"/>
          </w:tcPr>
          <w:p/>
        </w:tc>
        <w:tc>
          <w:tcPr>
            <w:tcW w:w="964" w:type="dxa"/>
            <w:tcBorders>
              <w:top w:val="nil"/>
              <w:left w:val="nil"/>
              <w:bottom w:val="nil"/>
              <w:right w:val="nil"/>
            </w:tcBorders>
          </w:tcPr>
          <w:p>
            <w:pPr>
              <w:pStyle w:val="0"/>
            </w:pPr>
            <w:r>
              <w:rPr>
                <w:sz w:val="20"/>
              </w:rPr>
            </w:r>
          </w:p>
        </w:tc>
      </w:tr>
    </w:tbl>
    <w:p>
      <w:pPr>
        <w:pStyle w:val="0"/>
        <w:jc w:val="both"/>
      </w:pPr>
      <w:r>
        <w:rPr>
          <w:sz w:val="20"/>
        </w:rPr>
      </w:r>
    </w:p>
    <w:p>
      <w:pPr>
        <w:pStyle w:val="0"/>
      </w:pPr>
      <w:r>
        <w:rPr>
          <w:sz w:val="20"/>
        </w:rPr>
        <w:t xml:space="preserve">3. Сведения о фактическом достижении показателей, характеризующих объем и (или) качество работы</w:t>
      </w:r>
    </w:p>
    <w:p>
      <w:pPr>
        <w:pStyle w:val="0"/>
        <w:jc w:val="both"/>
      </w:pPr>
      <w:r>
        <w:rPr>
          <w:sz w:val="20"/>
        </w:rPr>
      </w:r>
    </w:p>
    <w:p>
      <w:pPr>
        <w:pStyle w:val="0"/>
        <w:jc w:val="both"/>
      </w:pPr>
      <w:r>
        <w:rPr>
          <w:sz w:val="20"/>
        </w:rPr>
        <w:t xml:space="preserve">3.1. Сведения о фактическом достижении показателей, характеризующих качество работы, на 20___ год и плановый период 20___ и 20___ годов на 01 ______________ 20___ г.</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964"/>
        <w:gridCol w:w="769"/>
        <w:gridCol w:w="1020"/>
        <w:gridCol w:w="1134"/>
        <w:gridCol w:w="907"/>
        <w:gridCol w:w="1077"/>
        <w:gridCol w:w="1020"/>
        <w:gridCol w:w="907"/>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работы</w:t>
            </w:r>
          </w:p>
        </w:tc>
        <w:tc>
          <w:tcPr>
            <w:gridSpan w:val="2"/>
            <w:tcW w:w="2027" w:type="dxa"/>
            <w:vMerge w:val="restart"/>
          </w:tcPr>
          <w:p>
            <w:pPr>
              <w:pStyle w:val="0"/>
              <w:jc w:val="center"/>
            </w:pPr>
            <w:r>
              <w:rPr>
                <w:sz w:val="20"/>
              </w:rPr>
              <w:t xml:space="preserve">Показатель, характеризующий условия (формы) выполнения работы</w:t>
            </w:r>
          </w:p>
        </w:tc>
        <w:tc>
          <w:tcPr>
            <w:gridSpan w:val="9"/>
            <w:tcW w:w="8757" w:type="dxa"/>
          </w:tcPr>
          <w:p>
            <w:pPr>
              <w:pStyle w:val="0"/>
              <w:jc w:val="center"/>
            </w:pPr>
            <w:r>
              <w:rPr>
                <w:sz w:val="20"/>
              </w:rPr>
              <w:t xml:space="preserve">Показатель качества работы</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733" w:type="dxa"/>
          </w:tcPr>
          <w:p>
            <w:pPr>
              <w:pStyle w:val="0"/>
              <w:jc w:val="center"/>
            </w:pPr>
            <w:r>
              <w:rPr>
                <w:sz w:val="20"/>
              </w:rPr>
              <w:t xml:space="preserve">Единица измерения</w:t>
            </w:r>
          </w:p>
        </w:tc>
        <w:tc>
          <w:tcPr>
            <w:gridSpan w:val="3"/>
            <w:tcW w:w="3061" w:type="dxa"/>
          </w:tcPr>
          <w:p>
            <w:pPr>
              <w:pStyle w:val="0"/>
              <w:jc w:val="center"/>
            </w:pPr>
            <w:r>
              <w:rPr>
                <w:sz w:val="20"/>
              </w:rPr>
              <w:t xml:space="preserve">Значение</w:t>
            </w:r>
          </w:p>
        </w:tc>
        <w:tc>
          <w:tcPr>
            <w:tcW w:w="1077"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020"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907" w:type="dxa"/>
            <w:vMerge w:val="restart"/>
          </w:tcPr>
          <w:p>
            <w:pPr>
              <w:pStyle w:val="0"/>
              <w:jc w:val="center"/>
            </w:pPr>
            <w:r>
              <w:rPr>
                <w:sz w:val="20"/>
              </w:rPr>
              <w:t xml:space="preserve">Причина отклонения</w:t>
            </w: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964"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2"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020"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964" w:type="dxa"/>
          </w:tcPr>
          <w:p>
            <w:pPr>
              <w:pStyle w:val="0"/>
              <w:jc w:val="center"/>
            </w:pPr>
            <w:r>
              <w:rPr>
                <w:sz w:val="20"/>
              </w:rPr>
              <w:t xml:space="preserve">8</w:t>
            </w:r>
          </w:p>
        </w:tc>
        <w:tc>
          <w:tcPr>
            <w:tcW w:w="769" w:type="dxa"/>
          </w:tcPr>
          <w:p>
            <w:pPr>
              <w:pStyle w:val="0"/>
              <w:jc w:val="center"/>
            </w:pPr>
            <w:r>
              <w:rPr>
                <w:sz w:val="20"/>
              </w:rPr>
              <w:t xml:space="preserve">9</w:t>
            </w:r>
          </w:p>
        </w:tc>
        <w:tc>
          <w:tcPr>
            <w:tcW w:w="1020"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1077" w:type="dxa"/>
          </w:tcPr>
          <w:p>
            <w:pPr>
              <w:pStyle w:val="0"/>
              <w:jc w:val="center"/>
            </w:pPr>
            <w:r>
              <w:rPr>
                <w:sz w:val="20"/>
              </w:rPr>
              <w:t xml:space="preserve">13</w:t>
            </w:r>
          </w:p>
        </w:tc>
        <w:tc>
          <w:tcPr>
            <w:tcW w:w="1020" w:type="dxa"/>
          </w:tcPr>
          <w:p>
            <w:pPr>
              <w:pStyle w:val="0"/>
              <w:jc w:val="center"/>
            </w:pPr>
            <w:r>
              <w:rPr>
                <w:sz w:val="20"/>
              </w:rPr>
              <w:t xml:space="preserve">14</w:t>
            </w:r>
          </w:p>
        </w:tc>
        <w:tc>
          <w:tcPr>
            <w:tcW w:w="907" w:type="dxa"/>
          </w:tcPr>
          <w:p>
            <w:pPr>
              <w:pStyle w:val="0"/>
              <w:jc w:val="center"/>
            </w:pPr>
            <w:r>
              <w:rPr>
                <w:sz w:val="20"/>
              </w:rPr>
              <w:t xml:space="preserve">15</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1020" w:type="dxa"/>
          </w:tcPr>
          <w:p>
            <w:pPr>
              <w:pStyle w:val="0"/>
            </w:pPr>
            <w:r>
              <w:rPr>
                <w:sz w:val="20"/>
              </w:rPr>
            </w:r>
          </w:p>
        </w:tc>
        <w:tc>
          <w:tcPr>
            <w:tcW w:w="907"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964" w:type="dxa"/>
          </w:tcPr>
          <w:p>
            <w:pPr>
              <w:pStyle w:val="0"/>
            </w:pPr>
            <w:r>
              <w:rPr>
                <w:sz w:val="20"/>
              </w:rPr>
            </w:r>
          </w:p>
        </w:tc>
        <w:tc>
          <w:tcPr>
            <w:tcW w:w="769" w:type="dxa"/>
          </w:tcPr>
          <w:p>
            <w:pPr>
              <w:pStyle w:val="0"/>
            </w:pPr>
            <w:r>
              <w:rPr>
                <w:sz w:val="20"/>
              </w:rPr>
            </w:r>
          </w:p>
        </w:tc>
        <w:tc>
          <w:tcPr>
            <w:tcW w:w="1020"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1020" w:type="dxa"/>
          </w:tcPr>
          <w:p>
            <w:pPr>
              <w:pStyle w:val="0"/>
            </w:pPr>
            <w:r>
              <w:rPr>
                <w:sz w:val="20"/>
              </w:rPr>
            </w:r>
          </w:p>
        </w:tc>
        <w:tc>
          <w:tcPr>
            <w:tcW w:w="907" w:type="dxa"/>
          </w:tcPr>
          <w:p>
            <w:pPr>
              <w:pStyle w:val="0"/>
            </w:pPr>
            <w:r>
              <w:rPr>
                <w:sz w:val="20"/>
              </w:rPr>
            </w:r>
          </w:p>
        </w:tc>
      </w:tr>
    </w:tbl>
    <w:p>
      <w:pPr>
        <w:pStyle w:val="0"/>
        <w:jc w:val="both"/>
      </w:pPr>
      <w:r>
        <w:rPr>
          <w:sz w:val="20"/>
        </w:rPr>
      </w:r>
    </w:p>
    <w:p>
      <w:pPr>
        <w:pStyle w:val="0"/>
        <w:jc w:val="both"/>
      </w:pPr>
      <w:r>
        <w:rPr>
          <w:sz w:val="20"/>
        </w:rPr>
        <w:t xml:space="preserve">3.2. Показатели, характеризующие объем муниципальной услуги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1012"/>
        <w:gridCol w:w="1012"/>
        <w:gridCol w:w="1012"/>
        <w:gridCol w:w="1012"/>
        <w:gridCol w:w="1015"/>
        <w:gridCol w:w="959"/>
        <w:gridCol w:w="737"/>
        <w:gridCol w:w="769"/>
        <w:gridCol w:w="1134"/>
        <w:gridCol w:w="1134"/>
        <w:gridCol w:w="907"/>
        <w:gridCol w:w="964"/>
        <w:gridCol w:w="1020"/>
        <w:gridCol w:w="850"/>
        <w:gridCol w:w="850"/>
      </w:tblGrid>
      <w:tr>
        <w:tc>
          <w:tcPr>
            <w:tcW w:w="907" w:type="dxa"/>
            <w:vMerge w:val="restart"/>
          </w:tcPr>
          <w:p>
            <w:pPr>
              <w:pStyle w:val="0"/>
              <w:jc w:val="center"/>
            </w:pPr>
            <w:r>
              <w:rPr>
                <w:sz w:val="20"/>
              </w:rPr>
              <w:t xml:space="preserve">Уникальный номер реестровой записи </w:t>
            </w:r>
            <w:hyperlink w:history="0" w:anchor="P1207" w:tooltip="&lt;3&gt; Формируется в соответствии с муниципальным заданием.">
              <w:r>
                <w:rPr>
                  <w:sz w:val="20"/>
                  <w:color w:val="0000ff"/>
                </w:rPr>
                <w:t xml:space="preserve">&lt;3&gt;</w:t>
              </w:r>
            </w:hyperlink>
          </w:p>
        </w:tc>
        <w:tc>
          <w:tcPr>
            <w:gridSpan w:val="3"/>
            <w:tcW w:w="3036" w:type="dxa"/>
            <w:vMerge w:val="restart"/>
          </w:tcPr>
          <w:p>
            <w:pPr>
              <w:pStyle w:val="0"/>
              <w:jc w:val="center"/>
            </w:pPr>
            <w:r>
              <w:rPr>
                <w:sz w:val="20"/>
              </w:rPr>
              <w:t xml:space="preserve">Показатель, характеризующий содержание муниципальной услуги</w:t>
            </w:r>
          </w:p>
        </w:tc>
        <w:tc>
          <w:tcPr>
            <w:gridSpan w:val="2"/>
            <w:tcW w:w="2027" w:type="dxa"/>
            <w:vMerge w:val="restart"/>
          </w:tcPr>
          <w:p>
            <w:pPr>
              <w:pStyle w:val="0"/>
              <w:jc w:val="center"/>
            </w:pPr>
            <w:r>
              <w:rPr>
                <w:sz w:val="20"/>
              </w:rPr>
              <w:t xml:space="preserve">Показатель, характеризующий условия (формы) оказания муниципальной услуги</w:t>
            </w:r>
          </w:p>
        </w:tc>
        <w:tc>
          <w:tcPr>
            <w:gridSpan w:val="9"/>
            <w:tcW w:w="8474" w:type="dxa"/>
          </w:tcPr>
          <w:p>
            <w:pPr>
              <w:pStyle w:val="0"/>
              <w:jc w:val="center"/>
            </w:pPr>
            <w:r>
              <w:rPr>
                <w:sz w:val="20"/>
              </w:rPr>
              <w:t xml:space="preserve">Показатель качества муниципальной услуги</w:t>
            </w:r>
          </w:p>
        </w:tc>
        <w:tc>
          <w:tcPr>
            <w:tcW w:w="850" w:type="dxa"/>
            <w:vMerge w:val="restart"/>
          </w:tcPr>
          <w:p>
            <w:pPr>
              <w:pStyle w:val="0"/>
              <w:jc w:val="center"/>
            </w:pPr>
            <w:r>
              <w:rPr>
                <w:sz w:val="20"/>
              </w:rPr>
              <w:t xml:space="preserve">Средний размер платы (цена, тариф)</w:t>
            </w:r>
          </w:p>
        </w:tc>
      </w:tr>
      <w:tr>
        <w:tc>
          <w:tcPr>
            <w:vMerge w:val="continue"/>
          </w:tcPr>
          <w:p/>
        </w:tc>
        <w:tc>
          <w:tcPr>
            <w:gridSpan w:val="3"/>
            <w:vMerge w:val="continue"/>
          </w:tcPr>
          <w:p/>
        </w:tc>
        <w:tc>
          <w:tcPr>
            <w:gridSpan w:val="2"/>
            <w:vMerge w:val="continue"/>
          </w:tcPr>
          <w:p/>
        </w:tc>
        <w:tc>
          <w:tcPr>
            <w:tcW w:w="959" w:type="dxa"/>
            <w:vMerge w:val="restart"/>
          </w:tcPr>
          <w:p>
            <w:pPr>
              <w:pStyle w:val="0"/>
              <w:jc w:val="center"/>
            </w:pPr>
            <w:r>
              <w:rPr>
                <w:sz w:val="20"/>
              </w:rPr>
              <w:t xml:space="preserve">Наименование показателя &lt;3&gt;</w:t>
            </w:r>
          </w:p>
        </w:tc>
        <w:tc>
          <w:tcPr>
            <w:gridSpan w:val="2"/>
            <w:tcW w:w="1506" w:type="dxa"/>
          </w:tcPr>
          <w:p>
            <w:pPr>
              <w:pStyle w:val="0"/>
              <w:jc w:val="center"/>
            </w:pPr>
            <w:r>
              <w:rPr>
                <w:sz w:val="20"/>
              </w:rPr>
              <w:t xml:space="preserve">Единица измерения</w:t>
            </w:r>
          </w:p>
        </w:tc>
        <w:tc>
          <w:tcPr>
            <w:gridSpan w:val="3"/>
            <w:tcW w:w="3175" w:type="dxa"/>
          </w:tcPr>
          <w:p>
            <w:pPr>
              <w:pStyle w:val="0"/>
              <w:jc w:val="center"/>
            </w:pPr>
            <w:r>
              <w:rPr>
                <w:sz w:val="20"/>
              </w:rPr>
              <w:t xml:space="preserve">Значение</w:t>
            </w:r>
          </w:p>
        </w:tc>
        <w:tc>
          <w:tcPr>
            <w:tcW w:w="964" w:type="dxa"/>
            <w:vMerge w:val="restart"/>
          </w:tcPr>
          <w:p>
            <w:pPr>
              <w:pStyle w:val="0"/>
              <w:jc w:val="center"/>
            </w:pPr>
            <w:r>
              <w:rPr>
                <w:sz w:val="20"/>
              </w:rPr>
              <w:t xml:space="preserve">Допустимое (возможное) отклонение </w:t>
            </w:r>
            <w:hyperlink w:history="0" w:anchor="P1210" w:tooltip="&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
              <w:r>
                <w:rPr>
                  <w:sz w:val="20"/>
                  <w:color w:val="0000ff"/>
                </w:rPr>
                <w:t xml:space="preserve">&lt;6&gt;</w:t>
              </w:r>
            </w:hyperlink>
          </w:p>
        </w:tc>
        <w:tc>
          <w:tcPr>
            <w:tcW w:w="1020" w:type="dxa"/>
            <w:vMerge w:val="restart"/>
          </w:tcPr>
          <w:p>
            <w:pPr>
              <w:pStyle w:val="0"/>
              <w:jc w:val="center"/>
            </w:pPr>
            <w:r>
              <w:rPr>
                <w:sz w:val="20"/>
              </w:rPr>
              <w:t xml:space="preserve">Отклонение, превышающее допустимое (возможное) отклонение </w:t>
            </w:r>
            <w:hyperlink w:history="0" w:anchor="P1211" w:tooltip="&lt;7&gt; Рассчитывается при формировании отчета за год как разница показателей граф 10, 12 и 13.">
              <w:r>
                <w:rPr>
                  <w:sz w:val="20"/>
                  <w:color w:val="0000ff"/>
                </w:rPr>
                <w:t xml:space="preserve">&lt;7&gt;</w:t>
              </w:r>
            </w:hyperlink>
          </w:p>
        </w:tc>
        <w:tc>
          <w:tcPr>
            <w:tcW w:w="850" w:type="dxa"/>
            <w:vMerge w:val="restart"/>
          </w:tcPr>
          <w:p>
            <w:pPr>
              <w:pStyle w:val="0"/>
              <w:jc w:val="center"/>
            </w:pPr>
            <w:r>
              <w:rPr>
                <w:sz w:val="20"/>
              </w:rPr>
              <w:t xml:space="preserve">Причина отклонения</w:t>
            </w:r>
          </w:p>
        </w:tc>
        <w:tc>
          <w:tcPr>
            <w:vMerge w:val="continue"/>
          </w:tcPr>
          <w:p/>
        </w:tc>
      </w:tr>
      <w:tr>
        <w:tc>
          <w:tcPr>
            <w:vMerge w:val="continue"/>
          </w:tcP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vMerge w:val="continue"/>
          </w:tcPr>
          <w:p/>
        </w:tc>
        <w:tc>
          <w:tcPr>
            <w:tcW w:w="737" w:type="dxa"/>
            <w:vMerge w:val="restart"/>
          </w:tcPr>
          <w:p>
            <w:pPr>
              <w:pStyle w:val="0"/>
              <w:jc w:val="center"/>
            </w:pPr>
            <w:r>
              <w:rPr>
                <w:sz w:val="20"/>
              </w:rPr>
              <w:t xml:space="preserve">Наименование &lt;3&gt;</w:t>
            </w:r>
          </w:p>
        </w:tc>
        <w:tc>
          <w:tcPr>
            <w:tcW w:w="769" w:type="dxa"/>
            <w:vMerge w:val="restart"/>
          </w:tcPr>
          <w:p>
            <w:pPr>
              <w:pStyle w:val="0"/>
              <w:jc w:val="center"/>
            </w:pPr>
            <w:r>
              <w:rPr>
                <w:sz w:val="20"/>
              </w:rPr>
              <w:t xml:space="preserve">Код по </w:t>
            </w:r>
            <w:hyperlink w:history="0" r:id="rId33"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 &lt;3&gt;</w:t>
            </w:r>
          </w:p>
        </w:tc>
        <w:tc>
          <w:tcPr>
            <w:tcW w:w="1134" w:type="dxa"/>
            <w:vMerge w:val="restart"/>
          </w:tcPr>
          <w:p>
            <w:pPr>
              <w:pStyle w:val="0"/>
              <w:jc w:val="center"/>
            </w:pPr>
            <w:r>
              <w:rPr>
                <w:sz w:val="20"/>
              </w:rPr>
              <w:t xml:space="preserve">Утверждено в муниципальном задании на год &lt;3&gt;</w:t>
            </w:r>
          </w:p>
        </w:tc>
        <w:tc>
          <w:tcPr>
            <w:tcW w:w="1134" w:type="dxa"/>
            <w:vMerge w:val="restart"/>
          </w:tcPr>
          <w:p>
            <w:pPr>
              <w:pStyle w:val="0"/>
              <w:jc w:val="center"/>
            </w:pPr>
            <w:r>
              <w:rPr>
                <w:sz w:val="20"/>
              </w:rPr>
              <w:t xml:space="preserve">Утверждено в муниципальном задании на отчетную дату </w:t>
            </w:r>
            <w:hyperlink w:history="0" w:anchor="P1208" w:tooltip="&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
              <w:r>
                <w:rPr>
                  <w:sz w:val="20"/>
                  <w:color w:val="0000ff"/>
                </w:rPr>
                <w:t xml:space="preserve">&lt;4&gt;</w:t>
              </w:r>
            </w:hyperlink>
          </w:p>
        </w:tc>
        <w:tc>
          <w:tcPr>
            <w:tcW w:w="907" w:type="dxa"/>
            <w:vMerge w:val="restart"/>
          </w:tcPr>
          <w:p>
            <w:pPr>
              <w:pStyle w:val="0"/>
              <w:jc w:val="center"/>
            </w:pPr>
            <w:r>
              <w:rPr>
                <w:sz w:val="20"/>
              </w:rPr>
              <w:t xml:space="preserve">Исполнено на отчетную дату </w:t>
            </w:r>
            <w:hyperlink w:history="0" w:anchor="P1209" w:tooltip="&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
              <w:r>
                <w:rPr>
                  <w:sz w:val="20"/>
                  <w:color w:val="0000ff"/>
                </w:rPr>
                <w:t xml:space="preserve">&lt;5&gt;</w:t>
              </w:r>
            </w:hyperlink>
          </w:p>
        </w:tc>
        <w:tc>
          <w:tcPr>
            <w:vMerge w:val="continue"/>
          </w:tcPr>
          <w:p/>
        </w:tc>
        <w:tc>
          <w:tcPr>
            <w:vMerge w:val="continue"/>
          </w:tcPr>
          <w:p/>
        </w:tc>
        <w:tc>
          <w:tcPr>
            <w:vMerge w:val="continue"/>
          </w:tcPr>
          <w:p/>
        </w:tc>
        <w:tc>
          <w:tcPr>
            <w:vMerge w:val="continue"/>
          </w:tcPr>
          <w:p/>
        </w:tc>
      </w:tr>
      <w:tr>
        <w:tc>
          <w:tcPr>
            <w:vMerge w:val="continue"/>
          </w:tcP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2" w:type="dxa"/>
          </w:tcPr>
          <w:p>
            <w:pPr>
              <w:pStyle w:val="0"/>
              <w:jc w:val="center"/>
            </w:pPr>
            <w:r>
              <w:rPr>
                <w:sz w:val="20"/>
              </w:rPr>
              <w:t xml:space="preserve">(наименование показателя) &lt;3&gt;</w:t>
            </w:r>
          </w:p>
        </w:tc>
        <w:tc>
          <w:tcPr>
            <w:tcW w:w="1015" w:type="dxa"/>
          </w:tcPr>
          <w:p>
            <w:pPr>
              <w:pStyle w:val="0"/>
              <w:jc w:val="center"/>
            </w:pPr>
            <w:r>
              <w:rPr>
                <w:sz w:val="20"/>
              </w:rPr>
              <w:t xml:space="preserve">(наименование показателя) &lt;3&gt;</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907" w:type="dxa"/>
          </w:tcPr>
          <w:p>
            <w:pPr>
              <w:pStyle w:val="0"/>
              <w:jc w:val="center"/>
            </w:pPr>
            <w:r>
              <w:rPr>
                <w:sz w:val="20"/>
              </w:rPr>
              <w:t xml:space="preserve">1</w:t>
            </w:r>
          </w:p>
        </w:tc>
        <w:tc>
          <w:tcPr>
            <w:tcW w:w="1012" w:type="dxa"/>
          </w:tcPr>
          <w:p>
            <w:pPr>
              <w:pStyle w:val="0"/>
              <w:jc w:val="center"/>
            </w:pPr>
            <w:r>
              <w:rPr>
                <w:sz w:val="20"/>
              </w:rPr>
              <w:t xml:space="preserve">2</w:t>
            </w:r>
          </w:p>
        </w:tc>
        <w:tc>
          <w:tcPr>
            <w:tcW w:w="1012" w:type="dxa"/>
          </w:tcPr>
          <w:p>
            <w:pPr>
              <w:pStyle w:val="0"/>
              <w:jc w:val="center"/>
            </w:pPr>
            <w:r>
              <w:rPr>
                <w:sz w:val="20"/>
              </w:rPr>
              <w:t xml:space="preserve">3</w:t>
            </w:r>
          </w:p>
        </w:tc>
        <w:tc>
          <w:tcPr>
            <w:tcW w:w="1012" w:type="dxa"/>
          </w:tcPr>
          <w:p>
            <w:pPr>
              <w:pStyle w:val="0"/>
              <w:jc w:val="center"/>
            </w:pPr>
            <w:r>
              <w:rPr>
                <w:sz w:val="20"/>
              </w:rPr>
              <w:t xml:space="preserve">4</w:t>
            </w:r>
          </w:p>
        </w:tc>
        <w:tc>
          <w:tcPr>
            <w:tcW w:w="1012" w:type="dxa"/>
          </w:tcPr>
          <w:p>
            <w:pPr>
              <w:pStyle w:val="0"/>
              <w:jc w:val="center"/>
            </w:pPr>
            <w:r>
              <w:rPr>
                <w:sz w:val="20"/>
              </w:rPr>
              <w:t xml:space="preserve">5</w:t>
            </w:r>
          </w:p>
        </w:tc>
        <w:tc>
          <w:tcPr>
            <w:tcW w:w="1015" w:type="dxa"/>
          </w:tcPr>
          <w:p>
            <w:pPr>
              <w:pStyle w:val="0"/>
              <w:jc w:val="center"/>
            </w:pPr>
            <w:r>
              <w:rPr>
                <w:sz w:val="20"/>
              </w:rPr>
              <w:t xml:space="preserve">6</w:t>
            </w:r>
          </w:p>
        </w:tc>
        <w:tc>
          <w:tcPr>
            <w:tcW w:w="959" w:type="dxa"/>
          </w:tcPr>
          <w:p>
            <w:pPr>
              <w:pStyle w:val="0"/>
              <w:jc w:val="center"/>
            </w:pPr>
            <w:r>
              <w:rPr>
                <w:sz w:val="20"/>
              </w:rPr>
              <w:t xml:space="preserve">7</w:t>
            </w:r>
          </w:p>
        </w:tc>
        <w:tc>
          <w:tcPr>
            <w:tcW w:w="737" w:type="dxa"/>
          </w:tcPr>
          <w:p>
            <w:pPr>
              <w:pStyle w:val="0"/>
              <w:jc w:val="center"/>
            </w:pPr>
            <w:r>
              <w:rPr>
                <w:sz w:val="20"/>
              </w:rPr>
              <w:t xml:space="preserve">8</w:t>
            </w:r>
          </w:p>
        </w:tc>
        <w:tc>
          <w:tcPr>
            <w:tcW w:w="769" w:type="dxa"/>
          </w:tcPr>
          <w:p>
            <w:pPr>
              <w:pStyle w:val="0"/>
              <w:jc w:val="center"/>
            </w:pPr>
            <w:r>
              <w:rPr>
                <w:sz w:val="20"/>
              </w:rPr>
              <w:t xml:space="preserve">9</w:t>
            </w:r>
          </w:p>
        </w:tc>
        <w:tc>
          <w:tcPr>
            <w:tcW w:w="1134" w:type="dxa"/>
          </w:tcPr>
          <w:p>
            <w:pPr>
              <w:pStyle w:val="0"/>
              <w:jc w:val="center"/>
            </w:pPr>
            <w:r>
              <w:rPr>
                <w:sz w:val="20"/>
              </w:rPr>
              <w:t xml:space="preserve">10</w:t>
            </w:r>
          </w:p>
        </w:tc>
        <w:tc>
          <w:tcPr>
            <w:tcW w:w="1134" w:type="dxa"/>
          </w:tcPr>
          <w:p>
            <w:pPr>
              <w:pStyle w:val="0"/>
              <w:jc w:val="center"/>
            </w:pPr>
            <w:r>
              <w:rPr>
                <w:sz w:val="20"/>
              </w:rPr>
              <w:t xml:space="preserve">11</w:t>
            </w:r>
          </w:p>
        </w:tc>
        <w:tc>
          <w:tcPr>
            <w:tcW w:w="907" w:type="dxa"/>
          </w:tcPr>
          <w:p>
            <w:pPr>
              <w:pStyle w:val="0"/>
              <w:jc w:val="center"/>
            </w:pPr>
            <w:r>
              <w:rPr>
                <w:sz w:val="20"/>
              </w:rPr>
              <w:t xml:space="preserve">12</w:t>
            </w:r>
          </w:p>
        </w:tc>
        <w:tc>
          <w:tcPr>
            <w:tcW w:w="964" w:type="dxa"/>
          </w:tcPr>
          <w:p>
            <w:pPr>
              <w:pStyle w:val="0"/>
              <w:jc w:val="center"/>
            </w:pPr>
            <w:r>
              <w:rPr>
                <w:sz w:val="20"/>
              </w:rPr>
              <w:t xml:space="preserve">13</w:t>
            </w:r>
          </w:p>
        </w:tc>
        <w:tc>
          <w:tcPr>
            <w:tcW w:w="1020" w:type="dxa"/>
          </w:tcPr>
          <w:p>
            <w:pPr>
              <w:pStyle w:val="0"/>
              <w:jc w:val="center"/>
            </w:pPr>
            <w:r>
              <w:rPr>
                <w:sz w:val="20"/>
              </w:rPr>
              <w:t xml:space="preserve">14</w:t>
            </w:r>
          </w:p>
        </w:tc>
        <w:tc>
          <w:tcPr>
            <w:tcW w:w="850" w:type="dxa"/>
          </w:tcPr>
          <w:p>
            <w:pPr>
              <w:pStyle w:val="0"/>
              <w:jc w:val="center"/>
            </w:pPr>
            <w:r>
              <w:rPr>
                <w:sz w:val="20"/>
              </w:rPr>
              <w:t xml:space="preserve">15</w:t>
            </w:r>
          </w:p>
        </w:tc>
        <w:tc>
          <w:tcPr>
            <w:tcW w:w="850" w:type="dxa"/>
          </w:tcPr>
          <w:p>
            <w:pPr>
              <w:pStyle w:val="0"/>
              <w:jc w:val="center"/>
            </w:pPr>
            <w:r>
              <w:rPr>
                <w:sz w:val="20"/>
              </w:rPr>
              <w:t xml:space="preserve">16</w:t>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850" w:type="dxa"/>
          </w:tcPr>
          <w:p>
            <w:pPr>
              <w:pStyle w:val="0"/>
            </w:pPr>
            <w:r>
              <w:rPr>
                <w:sz w:val="20"/>
              </w:rPr>
            </w:r>
          </w:p>
        </w:tc>
      </w:tr>
      <w:tr>
        <w:tc>
          <w:tcPr>
            <w:tcW w:w="907"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2" w:type="dxa"/>
          </w:tcPr>
          <w:p>
            <w:pPr>
              <w:pStyle w:val="0"/>
            </w:pPr>
            <w:r>
              <w:rPr>
                <w:sz w:val="20"/>
              </w:rPr>
            </w:r>
          </w:p>
        </w:tc>
        <w:tc>
          <w:tcPr>
            <w:tcW w:w="1015" w:type="dxa"/>
          </w:tcPr>
          <w:p>
            <w:pPr>
              <w:pStyle w:val="0"/>
            </w:pPr>
            <w:r>
              <w:rPr>
                <w:sz w:val="20"/>
              </w:rPr>
            </w:r>
          </w:p>
        </w:tc>
        <w:tc>
          <w:tcPr>
            <w:tcW w:w="959" w:type="dxa"/>
          </w:tcPr>
          <w:p>
            <w:pPr>
              <w:pStyle w:val="0"/>
            </w:pPr>
            <w:r>
              <w:rPr>
                <w:sz w:val="20"/>
              </w:rPr>
            </w:r>
          </w:p>
        </w:tc>
        <w:tc>
          <w:tcPr>
            <w:tcW w:w="737" w:type="dxa"/>
          </w:tcPr>
          <w:p>
            <w:pPr>
              <w:pStyle w:val="0"/>
            </w:pPr>
            <w:r>
              <w:rPr>
                <w:sz w:val="20"/>
              </w:rPr>
            </w:r>
          </w:p>
        </w:tc>
        <w:tc>
          <w:tcPr>
            <w:tcW w:w="769"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907"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850" w:type="dxa"/>
          </w:tcPr>
          <w:p>
            <w:pPr>
              <w:pStyle w:val="0"/>
            </w:pPr>
            <w:r>
              <w:rPr>
                <w:sz w:val="20"/>
              </w:rPr>
            </w:r>
          </w:p>
        </w:tc>
      </w:tr>
    </w:tbl>
    <w:p>
      <w:pPr>
        <w:sectPr>
          <w:headerReference w:type="default" r:id="rId20"/>
          <w:headerReference w:type="first" r:id="rId20"/>
          <w:footerReference w:type="default" r:id="rId21"/>
          <w:footerReference w:type="first" r:id="rId21"/>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4082"/>
        <w:gridCol w:w="1417"/>
        <w:gridCol w:w="340"/>
        <w:gridCol w:w="1191"/>
        <w:gridCol w:w="340"/>
        <w:gridCol w:w="1701"/>
      </w:tblGrid>
      <w:tr>
        <w:tc>
          <w:tcPr>
            <w:tcW w:w="4082" w:type="dxa"/>
            <w:tcBorders>
              <w:top w:val="nil"/>
              <w:left w:val="nil"/>
              <w:bottom w:val="nil"/>
              <w:right w:val="nil"/>
            </w:tcBorders>
          </w:tcPr>
          <w:p>
            <w:pPr>
              <w:pStyle w:val="0"/>
            </w:pPr>
            <w:r>
              <w:rPr>
                <w:sz w:val="20"/>
              </w:rPr>
              <w:t xml:space="preserve">Руководитель (уполномоченное лицо)</w:t>
            </w:r>
          </w:p>
        </w:tc>
        <w:tc>
          <w:tcPr>
            <w:tcW w:w="1417"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9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701" w:type="dxa"/>
            <w:tcBorders>
              <w:top w:val="nil"/>
              <w:left w:val="nil"/>
              <w:bottom w:val="single" w:sz="4"/>
              <w:right w:val="nil"/>
            </w:tcBorders>
          </w:tcPr>
          <w:p>
            <w:pPr>
              <w:pStyle w:val="0"/>
            </w:pPr>
            <w:r>
              <w:rPr>
                <w:sz w:val="20"/>
              </w:rPr>
            </w:r>
          </w:p>
        </w:tc>
      </w:tr>
      <w:tr>
        <w:tc>
          <w:tcPr>
            <w:tcW w:w="4082" w:type="dxa"/>
            <w:tcBorders>
              <w:top w:val="nil"/>
              <w:left w:val="nil"/>
              <w:bottom w:val="nil"/>
              <w:right w:val="nil"/>
            </w:tcBorders>
          </w:tcPr>
          <w:p>
            <w:pPr>
              <w:pStyle w:val="0"/>
            </w:pPr>
            <w:r>
              <w:rPr>
                <w:sz w:val="20"/>
              </w:rPr>
            </w:r>
          </w:p>
        </w:tc>
        <w:tc>
          <w:tcPr>
            <w:tcW w:w="1417" w:type="dxa"/>
            <w:tcBorders>
              <w:top w:val="single" w:sz="4"/>
              <w:left w:val="nil"/>
              <w:bottom w:val="nil"/>
              <w:right w:val="nil"/>
            </w:tcBorders>
          </w:tcPr>
          <w:p>
            <w:pPr>
              <w:pStyle w:val="0"/>
              <w:jc w:val="center"/>
            </w:pPr>
            <w:r>
              <w:rPr>
                <w:sz w:val="20"/>
              </w:rPr>
              <w:t xml:space="preserve">(должность)</w:t>
            </w:r>
          </w:p>
        </w:tc>
        <w:tc>
          <w:tcPr>
            <w:tcW w:w="340" w:type="dxa"/>
            <w:tcBorders>
              <w:top w:val="nil"/>
              <w:left w:val="nil"/>
              <w:bottom w:val="nil"/>
              <w:right w:val="nil"/>
            </w:tcBorders>
          </w:tcPr>
          <w:p>
            <w:pPr>
              <w:pStyle w:val="0"/>
            </w:pPr>
            <w:r>
              <w:rPr>
                <w:sz w:val="20"/>
              </w:rPr>
            </w:r>
          </w:p>
        </w:tc>
        <w:tc>
          <w:tcPr>
            <w:tcW w:w="119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1701" w:type="dxa"/>
            <w:tcBorders>
              <w:top w:val="single" w:sz="4"/>
              <w:left w:val="nil"/>
              <w:bottom w:val="nil"/>
              <w:right w:val="nil"/>
            </w:tcBorders>
          </w:tcPr>
          <w:p>
            <w:pPr>
              <w:pStyle w:val="0"/>
              <w:jc w:val="center"/>
            </w:pPr>
            <w:r>
              <w:rPr>
                <w:sz w:val="20"/>
              </w:rPr>
              <w:t xml:space="preserve">(расшифровка подписи)</w:t>
            </w:r>
          </w:p>
        </w:tc>
      </w:tr>
      <w:tr>
        <w:tc>
          <w:tcPr>
            <w:gridSpan w:val="6"/>
            <w:tcW w:w="9071" w:type="dxa"/>
            <w:tcBorders>
              <w:top w:val="nil"/>
              <w:left w:val="nil"/>
              <w:bottom w:val="nil"/>
              <w:right w:val="nil"/>
            </w:tcBorders>
          </w:tcPr>
          <w:p>
            <w:pPr>
              <w:pStyle w:val="0"/>
            </w:pPr>
            <w:r>
              <w:rPr>
                <w:sz w:val="20"/>
              </w:rPr>
              <w:t xml:space="preserve">"___" _______________ 20___ г.</w:t>
            </w:r>
          </w:p>
        </w:tc>
      </w:tr>
    </w:tbl>
    <w:p>
      <w:pPr>
        <w:pStyle w:val="0"/>
        <w:jc w:val="both"/>
      </w:pPr>
      <w:r>
        <w:rPr>
          <w:sz w:val="20"/>
        </w:rPr>
      </w:r>
    </w:p>
    <w:p>
      <w:pPr>
        <w:pStyle w:val="0"/>
        <w:ind w:firstLine="540"/>
        <w:jc w:val="both"/>
      </w:pPr>
      <w:r>
        <w:rPr>
          <w:sz w:val="20"/>
        </w:rPr>
        <w:t xml:space="preserve">--------------------------------</w:t>
      </w:r>
    </w:p>
    <w:bookmarkStart w:id="1205" w:name="P1205"/>
    <w:bookmarkEnd w:id="1205"/>
    <w:p>
      <w:pPr>
        <w:pStyle w:val="0"/>
        <w:spacing w:before="200" w:line-rule="auto"/>
        <w:ind w:firstLine="540"/>
        <w:jc w:val="both"/>
      </w:pPr>
      <w:r>
        <w:rPr>
          <w:sz w:val="20"/>
        </w:rPr>
        <w:t xml:space="preserve">&lt;1&gt; Указывается номер муниципального задания, по которому формируется отчет.</w:t>
      </w:r>
    </w:p>
    <w:bookmarkStart w:id="1206" w:name="P1206"/>
    <w:bookmarkEnd w:id="1206"/>
    <w:p>
      <w:pPr>
        <w:pStyle w:val="0"/>
        <w:spacing w:before="200" w:line-rule="auto"/>
        <w:ind w:firstLine="540"/>
        <w:jc w:val="both"/>
      </w:pPr>
      <w:r>
        <w:rPr>
          <w:sz w:val="20"/>
        </w:rPr>
        <w:t xml:space="preserve">&lt;2&gt;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w:t>
      </w:r>
    </w:p>
    <w:bookmarkStart w:id="1207" w:name="P1207"/>
    <w:bookmarkEnd w:id="1207"/>
    <w:p>
      <w:pPr>
        <w:pStyle w:val="0"/>
        <w:spacing w:before="200" w:line-rule="auto"/>
        <w:ind w:firstLine="540"/>
        <w:jc w:val="both"/>
      </w:pPr>
      <w:r>
        <w:rPr>
          <w:sz w:val="20"/>
        </w:rPr>
        <w:t xml:space="preserve">&lt;3&gt; Формируется в соответствии с муниципальным заданием.</w:t>
      </w:r>
    </w:p>
    <w:bookmarkStart w:id="1208" w:name="P1208"/>
    <w:bookmarkEnd w:id="1208"/>
    <w:p>
      <w:pPr>
        <w:pStyle w:val="0"/>
        <w:spacing w:before="200" w:line-rule="auto"/>
        <w:ind w:firstLine="540"/>
        <w:jc w:val="both"/>
      </w:pPr>
      <w:r>
        <w:rPr>
          <w:sz w:val="20"/>
        </w:rPr>
        <w:t xml:space="preserve">&lt;4&gt;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муниципального задания на отчетную дату, в том числе с учетом неравномерного оказания муниципальных услуг (выполнения работ) в течение календарного года. При установлении показателя достижения результатов выполнения муниципального задания на отчетную дату в абсолютных величинах заполняется в соответствии с муниципальным заданием (в том числе с учетом неравномерного оказания муниципальных услуг (выполнения работ) в течение календарного года).</w:t>
      </w:r>
    </w:p>
    <w:bookmarkStart w:id="1209" w:name="P1209"/>
    <w:bookmarkEnd w:id="1209"/>
    <w:p>
      <w:pPr>
        <w:pStyle w:val="0"/>
        <w:spacing w:before="200" w:line-rule="auto"/>
        <w:ind w:firstLine="540"/>
        <w:jc w:val="both"/>
      </w:pPr>
      <w:r>
        <w:rPr>
          <w:sz w:val="20"/>
        </w:rPr>
        <w:t xml:space="preserve">&lt;5&gt;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w:t>
      </w:r>
    </w:p>
    <w:bookmarkStart w:id="1210" w:name="P1210"/>
    <w:bookmarkEnd w:id="1210"/>
    <w:p>
      <w:pPr>
        <w:pStyle w:val="0"/>
        <w:spacing w:before="200" w:line-rule="auto"/>
        <w:ind w:firstLine="540"/>
        <w:jc w:val="both"/>
      </w:pPr>
      <w:r>
        <w:rPr>
          <w:sz w:val="20"/>
        </w:rPr>
        <w:t xml:space="preserve">&lt;6&gt;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муниципальной услуги (работы) в абсолютных величинах заполняется в соответствии с муниципальным заданием. Значение указывается в единицах измерения показателя, установленных в муниципальном задании (графа 8), в целых единицах. Значение менее 0,5 единицы отбрасывается, а 0,5 единицы и более округляется до целой единицы. В случае если единицей объема работы является работа в целом, показатели граф 13 и 14 пункта 3.2 не рассчитываются.</w:t>
      </w:r>
    </w:p>
    <w:bookmarkStart w:id="1211" w:name="P1211"/>
    <w:bookmarkEnd w:id="1211"/>
    <w:p>
      <w:pPr>
        <w:pStyle w:val="0"/>
        <w:spacing w:before="200" w:line-rule="auto"/>
        <w:ind w:firstLine="540"/>
        <w:jc w:val="both"/>
      </w:pPr>
      <w:r>
        <w:rPr>
          <w:sz w:val="20"/>
        </w:rPr>
        <w:t xml:space="preserve">&lt;7&gt; Рассчитывается при формировании отчета за год как разница показателей граф 10, 12 и 13.</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Порядку</w:t>
      </w:r>
    </w:p>
    <w:p>
      <w:pPr>
        <w:pStyle w:val="0"/>
        <w:jc w:val="right"/>
      </w:pPr>
      <w:r>
        <w:rPr>
          <w:sz w:val="20"/>
        </w:rPr>
        <w:t xml:space="preserve">формирования муниципального задания</w:t>
      </w:r>
    </w:p>
    <w:p>
      <w:pPr>
        <w:pStyle w:val="0"/>
        <w:jc w:val="right"/>
      </w:pPr>
      <w:r>
        <w:rPr>
          <w:sz w:val="20"/>
        </w:rPr>
        <w:t xml:space="preserve">на оказание муниципальных услуг</w:t>
      </w:r>
    </w:p>
    <w:p>
      <w:pPr>
        <w:pStyle w:val="0"/>
        <w:jc w:val="right"/>
      </w:pPr>
      <w:r>
        <w:rPr>
          <w:sz w:val="20"/>
        </w:rPr>
        <w:t xml:space="preserve">(выполнение работ) в отношении</w:t>
      </w:r>
    </w:p>
    <w:p>
      <w:pPr>
        <w:pStyle w:val="0"/>
        <w:jc w:val="right"/>
      </w:pPr>
      <w:r>
        <w:rPr>
          <w:sz w:val="20"/>
        </w:rPr>
        <w:t xml:space="preserve">муниципальных учреждений</w:t>
      </w:r>
    </w:p>
    <w:p>
      <w:pPr>
        <w:pStyle w:val="0"/>
        <w:jc w:val="right"/>
      </w:pPr>
      <w:r>
        <w:rPr>
          <w:sz w:val="20"/>
        </w:rPr>
        <w:t xml:space="preserve">Кунгурского муниципального округа</w:t>
      </w:r>
    </w:p>
    <w:p>
      <w:pPr>
        <w:pStyle w:val="0"/>
        <w:jc w:val="right"/>
      </w:pPr>
      <w:r>
        <w:rPr>
          <w:sz w:val="20"/>
        </w:rPr>
        <w:t xml:space="preserve">Пермского края и финансового обеспечения</w:t>
      </w:r>
    </w:p>
    <w:p>
      <w:pPr>
        <w:pStyle w:val="0"/>
        <w:jc w:val="right"/>
      </w:pPr>
      <w:r>
        <w:rPr>
          <w:sz w:val="20"/>
        </w:rPr>
        <w:t xml:space="preserve">выполнения муниципального задания</w:t>
      </w:r>
    </w:p>
    <w:p>
      <w:pPr>
        <w:pStyle w:val="0"/>
        <w:jc w:val="both"/>
      </w:pPr>
      <w:r>
        <w:rPr>
          <w:sz w:val="20"/>
        </w:rPr>
      </w:r>
    </w:p>
    <w:bookmarkStart w:id="1227" w:name="P1227"/>
    <w:bookmarkEnd w:id="1227"/>
    <w:p>
      <w:pPr>
        <w:pStyle w:val="2"/>
        <w:jc w:val="center"/>
      </w:pPr>
      <w:r>
        <w:rPr>
          <w:sz w:val="20"/>
        </w:rPr>
        <w:t xml:space="preserve">МЕТОДИЧЕСКИЕ РЕКОМЕНДАЦИИ</w:t>
      </w:r>
    </w:p>
    <w:p>
      <w:pPr>
        <w:pStyle w:val="2"/>
        <w:jc w:val="center"/>
      </w:pPr>
      <w:r>
        <w:rPr>
          <w:sz w:val="20"/>
        </w:rPr>
        <w:t xml:space="preserve">по расчету базового норматива затрат</w:t>
      </w:r>
    </w:p>
    <w:p>
      <w:pPr>
        <w:pStyle w:val="0"/>
        <w:jc w:val="both"/>
      </w:pPr>
      <w:r>
        <w:rPr>
          <w:sz w:val="20"/>
        </w:rPr>
      </w:r>
    </w:p>
    <w:p>
      <w:pPr>
        <w:pStyle w:val="0"/>
        <w:ind w:firstLine="540"/>
        <w:jc w:val="both"/>
      </w:pPr>
      <w:r>
        <w:rPr>
          <w:sz w:val="20"/>
        </w:rPr>
        <w:t xml:space="preserve">1. Базовый норматив затрат на оказание муниципальной услуги состоит из:</w:t>
      </w:r>
    </w:p>
    <w:p>
      <w:pPr>
        <w:pStyle w:val="0"/>
        <w:spacing w:before="200" w:line-rule="auto"/>
        <w:ind w:firstLine="540"/>
        <w:jc w:val="both"/>
      </w:pPr>
      <w:r>
        <w:rPr>
          <w:sz w:val="20"/>
        </w:rPr>
        <w:t xml:space="preserve">а) затрат, непосредственно связанных с оказанием муниципальной услуги;</w:t>
      </w:r>
    </w:p>
    <w:p>
      <w:pPr>
        <w:pStyle w:val="0"/>
        <w:spacing w:before="200" w:line-rule="auto"/>
        <w:ind w:firstLine="540"/>
        <w:jc w:val="both"/>
      </w:pPr>
      <w:r>
        <w:rPr>
          <w:sz w:val="20"/>
        </w:rPr>
        <w:t xml:space="preserve">б) затрат на общехозяйственные нужды на оказание муниципальной услуги.</w:t>
      </w:r>
    </w:p>
    <w:p>
      <w:pPr>
        <w:pStyle w:val="0"/>
        <w:spacing w:before="200" w:line-rule="auto"/>
        <w:ind w:firstLine="540"/>
        <w:jc w:val="both"/>
      </w:pPr>
      <w:r>
        <w:rPr>
          <w:sz w:val="20"/>
        </w:rPr>
        <w:t xml:space="preserve">2. Базовый норматив затрат рассчитывается исходя из затрат, необходимых для оказания муниципальной услуги, с соблюдением показателей качества оказания муниципальной услуги, а также показателей, отражающих отраслевую специфику муниципальной услуги (содержание, условия (формы) оказания муниципальной услуги), установленных общероссийскими (базовыми) отраслевыми перечнями (классификаторами) государственных и муниципальных услуг, оказываемых физическим лицам, а также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(далее - перечни услуг и работ), отраслевой корректирующий коэффициент при которых принимает значение, равное 1.</w:t>
      </w:r>
    </w:p>
    <w:p>
      <w:pPr>
        <w:pStyle w:val="0"/>
        <w:spacing w:before="200" w:line-rule="auto"/>
        <w:ind w:firstLine="540"/>
        <w:jc w:val="both"/>
      </w:pPr>
      <w:r>
        <w:rPr>
          <w:sz w:val="20"/>
        </w:rPr>
        <w:t xml:space="preserve">3. При определении базового норматива затрат применяются нормы материальных, технических и трудовых ресурсов, используемых для оказания муниципальной услуги, установленные нормативными правовыми актами Российской Федерации,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и регламентами оказания муниципальных услуг в установленной сфере (далее - стандарты услуги).</w:t>
      </w:r>
    </w:p>
    <w:p>
      <w:pPr>
        <w:pStyle w:val="0"/>
        <w:spacing w:before="200" w:line-rule="auto"/>
        <w:ind w:firstLine="540"/>
        <w:jc w:val="both"/>
      </w:pPr>
      <w:r>
        <w:rPr>
          <w:sz w:val="20"/>
        </w:rPr>
        <w:t xml:space="preserve">При отсутствии норм, выраженных в натуральных показателях, установленных стандартом оказания услуги, в отношении муниципальной услуги, оказываемой муниципальными учреждениями, нормы, выраженные в натуральных показателях, определяются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при выполнении требований к качеству оказания муниципальных услуг, отраженных в перечнях услуг и работ, либо на основе медианного значения по муниципальным учреждениям, оказывающим муниципальную услугу в установленной сфере деятельности, либо иным методом, разработанным и утвержденным правовым актом учредителя (в отношении муниципальных автономных и бюджетных учреждений округа), а также ГРБС (в случае принятия им решения о применении нормативных затрат при расчете объема финансового обеспечения выполнения муниципального задания казенному учреждению).</w:t>
      </w:r>
    </w:p>
    <w:p>
      <w:pPr>
        <w:pStyle w:val="0"/>
        <w:spacing w:before="200" w:line-rule="auto"/>
        <w:ind w:firstLine="540"/>
        <w:jc w:val="both"/>
      </w:pPr>
      <w:r>
        <w:rPr>
          <w:sz w:val="20"/>
        </w:rPr>
        <w:t xml:space="preserve">4. В затраты, непосредственно связанные с оказанием муниципальной услуги, включаются:</w:t>
      </w:r>
    </w:p>
    <w:p>
      <w:pPr>
        <w:pStyle w:val="0"/>
        <w:spacing w:before="200" w:line-rule="auto"/>
        <w:ind w:firstLine="540"/>
        <w:jc w:val="both"/>
      </w:pPr>
      <w:r>
        <w:rPr>
          <w:sz w:val="20"/>
        </w:rPr>
        <w:t xml:space="preserve">а) затраты на оплату труда и начисления на выплаты по оплате труда работников, принимающих непосредственное участие в оказании муниципальной услуги, включая административно-управленческий персонал, в случаях, установленных стандартами услуги, включая страховые взносы в Пенсионный фонд Российской Федерации, Фонд социального страхования Российской Федерации и Федеральный фонд обязательного медицинского страхования, страховые взносы на обязательное социальное страхование от несчастных случаев на производстве и профессиональных заболеваний в соответствии с трудовым законодательством и иными нормативными правовыми актами, содержащими нормы трудового права (далее - начисления на выплаты по оплате труда);</w:t>
      </w:r>
    </w:p>
    <w:p>
      <w:pPr>
        <w:pStyle w:val="0"/>
        <w:spacing w:before="200" w:line-rule="auto"/>
        <w:ind w:firstLine="540"/>
        <w:jc w:val="both"/>
      </w:pPr>
      <w:r>
        <w:rPr>
          <w:sz w:val="20"/>
        </w:rPr>
        <w:t xml:space="preserve">б) затраты на приобретение материальных запасов и особо ценного движимого имущества, потребляемого (используемого) в процессе оказания муниципальной услуги с учетом срока полезного использования (в том числе затраты на арендные платежи);</w:t>
      </w:r>
    </w:p>
    <w:p>
      <w:pPr>
        <w:pStyle w:val="0"/>
        <w:spacing w:before="200" w:line-rule="auto"/>
        <w:ind w:firstLine="540"/>
        <w:jc w:val="both"/>
      </w:pPr>
      <w:r>
        <w:rPr>
          <w:sz w:val="20"/>
        </w:rPr>
        <w:t xml:space="preserve">в) иные затраты, непосредственно связанные с оказанием муниципальной услуги.</w:t>
      </w:r>
    </w:p>
    <w:p>
      <w:pPr>
        <w:pStyle w:val="0"/>
        <w:spacing w:before="200" w:line-rule="auto"/>
        <w:ind w:firstLine="540"/>
        <w:jc w:val="both"/>
      </w:pPr>
      <w:r>
        <w:rPr>
          <w:sz w:val="20"/>
        </w:rPr>
        <w:t xml:space="preserve">5. В затраты на общехозяйственные нужды на оказание муниципальной услуги включаются:</w:t>
      </w:r>
    </w:p>
    <w:bookmarkStart w:id="1241" w:name="P1241"/>
    <w:bookmarkEnd w:id="1241"/>
    <w:p>
      <w:pPr>
        <w:pStyle w:val="0"/>
        <w:spacing w:before="200" w:line-rule="auto"/>
        <w:ind w:firstLine="540"/>
        <w:jc w:val="both"/>
      </w:pPr>
      <w:r>
        <w:rPr>
          <w:sz w:val="20"/>
        </w:rPr>
        <w:t xml:space="preserve">а) затраты на коммунальные услуги;</w:t>
      </w:r>
    </w:p>
    <w:p>
      <w:pPr>
        <w:pStyle w:val="0"/>
        <w:spacing w:before="200" w:line-rule="auto"/>
        <w:ind w:firstLine="540"/>
        <w:jc w:val="both"/>
      </w:pPr>
      <w:r>
        <w:rPr>
          <w:sz w:val="20"/>
        </w:rPr>
        <w:t xml:space="preserve">б) затраты на содержание объектов недвижимого имущества (в том числе затраты на арендные платежи);</w:t>
      </w:r>
    </w:p>
    <w:bookmarkStart w:id="1243" w:name="P1243"/>
    <w:bookmarkEnd w:id="1243"/>
    <w:p>
      <w:pPr>
        <w:pStyle w:val="0"/>
        <w:spacing w:before="200" w:line-rule="auto"/>
        <w:ind w:firstLine="540"/>
        <w:jc w:val="both"/>
      </w:pPr>
      <w:r>
        <w:rPr>
          <w:sz w:val="20"/>
        </w:rPr>
        <w:t xml:space="preserve">в) затраты на содержание объектов особо ценного движимого имущества;</w:t>
      </w:r>
    </w:p>
    <w:p>
      <w:pPr>
        <w:pStyle w:val="0"/>
        <w:spacing w:before="200" w:line-rule="auto"/>
        <w:ind w:firstLine="540"/>
        <w:jc w:val="both"/>
      </w:pPr>
      <w:r>
        <w:rPr>
          <w:sz w:val="20"/>
        </w:rPr>
        <w:t xml:space="preserve">г) затраты на приобретение услуг связи;</w:t>
      </w:r>
    </w:p>
    <w:p>
      <w:pPr>
        <w:pStyle w:val="0"/>
        <w:spacing w:before="200" w:line-rule="auto"/>
        <w:ind w:firstLine="540"/>
        <w:jc w:val="both"/>
      </w:pPr>
      <w:r>
        <w:rPr>
          <w:sz w:val="20"/>
        </w:rPr>
        <w:t xml:space="preserve">д) затраты на приобретение транспортных услуг;</w:t>
      </w:r>
    </w:p>
    <w:p>
      <w:pPr>
        <w:pStyle w:val="0"/>
        <w:spacing w:before="200" w:line-rule="auto"/>
        <w:ind w:firstLine="540"/>
        <w:jc w:val="both"/>
      </w:pPr>
      <w:r>
        <w:rPr>
          <w:sz w:val="20"/>
        </w:rPr>
        <w:t xml:space="preserve">е) затраты на оплату труда с начислениями на выплаты по оплате труда работников, которые не принимают непосредственного участия в оказании муниципальной услуги,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ж) затраты на прочие общехозяйственные нужды.</w:t>
      </w:r>
    </w:p>
    <w:p>
      <w:pPr>
        <w:pStyle w:val="0"/>
        <w:spacing w:before="200" w:line-rule="auto"/>
        <w:ind w:firstLine="540"/>
        <w:jc w:val="both"/>
      </w:pPr>
      <w:r>
        <w:rPr>
          <w:sz w:val="20"/>
        </w:rPr>
        <w:t xml:space="preserve">6. В затраты, указанные в </w:t>
      </w:r>
      <w:hyperlink w:history="0" w:anchor="P1241" w:tooltip="а) затраты на коммунальные услуги;">
        <w:r>
          <w:rPr>
            <w:sz w:val="20"/>
            <w:color w:val="0000ff"/>
          </w:rPr>
          <w:t xml:space="preserve">подпунктах "а"</w:t>
        </w:r>
      </w:hyperlink>
      <w:r>
        <w:rPr>
          <w:sz w:val="20"/>
        </w:rPr>
        <w:t xml:space="preserve">-</w:t>
      </w:r>
      <w:hyperlink w:history="0" w:anchor="P1243" w:tooltip="в) затраты на содержание объектов особо ценного движимого имущества;">
        <w:r>
          <w:rPr>
            <w:sz w:val="20"/>
            <w:color w:val="0000ff"/>
          </w:rPr>
          <w:t xml:space="preserve">"в" пункта 5</w:t>
        </w:r>
      </w:hyperlink>
      <w:r>
        <w:rPr>
          <w:sz w:val="20"/>
        </w:rPr>
        <w:t xml:space="preserve"> настоящих рекомендаций, включаются затраты в отношении имущества учреждения, используемого для выполнения муниципального задания и общехозяйственных нужд, в том числе на основании договора аренды (финансовой аренды) или договора безвозмездного пользования (далее - имущество, необходимое для выполнения муниципального задания), на оказание муниципальной услуги.</w:t>
      </w:r>
    </w:p>
    <w:bookmarkStart w:id="1249" w:name="P1249"/>
    <w:bookmarkEnd w:id="1249"/>
    <w:p>
      <w:pPr>
        <w:pStyle w:val="0"/>
        <w:spacing w:before="200" w:line-rule="auto"/>
        <w:ind w:firstLine="540"/>
        <w:jc w:val="both"/>
      </w:pPr>
      <w:r>
        <w:rPr>
          <w:sz w:val="20"/>
        </w:rPr>
        <w:t xml:space="preserve">7. Нормативные затраты на выполнение работы (N</w:t>
      </w:r>
      <w:r>
        <w:rPr>
          <w:sz w:val="20"/>
          <w:vertAlign w:val="subscript"/>
        </w:rPr>
        <w:t xml:space="preserve">w</w:t>
      </w:r>
      <w:r>
        <w:rPr>
          <w:sz w:val="20"/>
        </w:rPr>
        <w:t xml:space="preserve">) рассчитываются на работу в целом или в случае установления в муниципальном задании показателей объема выполнения работы - на единицу объема работы. В нормативные затраты на выполнение работы включаются в том числе:</w:t>
      </w:r>
    </w:p>
    <w:p>
      <w:pPr>
        <w:pStyle w:val="0"/>
        <w:spacing w:before="200" w:line-rule="auto"/>
        <w:ind w:firstLine="540"/>
        <w:jc w:val="both"/>
      </w:pPr>
      <w:r>
        <w:rPr>
          <w:sz w:val="20"/>
        </w:rPr>
        <w:t xml:space="preserve">а) затраты на оплату труда с начислениями на выплаты по оплате труда работников, непосредственно связанных с выполнением работы,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б) затраты на приобретение материальных запасов и особо ценного движимого имущества, потребляемых (используемых) в процессе выполнения работы с учетом срока полезного использования (в том числе затраты на арендные платежи);</w:t>
      </w:r>
    </w:p>
    <w:p>
      <w:pPr>
        <w:pStyle w:val="0"/>
        <w:spacing w:before="200" w:line-rule="auto"/>
        <w:ind w:firstLine="540"/>
        <w:jc w:val="both"/>
      </w:pPr>
      <w:r>
        <w:rPr>
          <w:sz w:val="20"/>
        </w:rPr>
        <w:t xml:space="preserve">в) затраты на иные расходы, непосредственно связанные с выполнением работы;</w:t>
      </w:r>
    </w:p>
    <w:p>
      <w:pPr>
        <w:pStyle w:val="0"/>
        <w:spacing w:before="200" w:line-rule="auto"/>
        <w:ind w:firstLine="540"/>
        <w:jc w:val="both"/>
      </w:pPr>
      <w:r>
        <w:rPr>
          <w:sz w:val="20"/>
        </w:rPr>
        <w:t xml:space="preserve">г) затраты на оплату коммунальных услуг;</w:t>
      </w:r>
    </w:p>
    <w:p>
      <w:pPr>
        <w:pStyle w:val="0"/>
        <w:spacing w:before="200" w:line-rule="auto"/>
        <w:ind w:firstLine="540"/>
        <w:jc w:val="both"/>
      </w:pPr>
      <w:r>
        <w:rPr>
          <w:sz w:val="20"/>
        </w:rPr>
        <w:t xml:space="preserve">д) затраты на содержание объектов недвижимого имущества, необходимого для выполнения муниципального задания (в том числе затраты на арендные платежи);</w:t>
      </w:r>
    </w:p>
    <w:p>
      <w:pPr>
        <w:pStyle w:val="0"/>
        <w:spacing w:before="200" w:line-rule="auto"/>
        <w:ind w:firstLine="540"/>
        <w:jc w:val="both"/>
      </w:pPr>
      <w:r>
        <w:rPr>
          <w:sz w:val="20"/>
        </w:rPr>
        <w:t xml:space="preserve">е) затраты на содержание объектов особо ценного движимого имущества и имущества, необходимого для выполнения муниципального задания;</w:t>
      </w:r>
    </w:p>
    <w:p>
      <w:pPr>
        <w:pStyle w:val="0"/>
        <w:spacing w:before="200" w:line-rule="auto"/>
        <w:ind w:firstLine="540"/>
        <w:jc w:val="both"/>
      </w:pPr>
      <w:r>
        <w:rPr>
          <w:sz w:val="20"/>
        </w:rPr>
        <w:t xml:space="preserve">ж) затраты на приобретение услуг связи;</w:t>
      </w:r>
    </w:p>
    <w:p>
      <w:pPr>
        <w:pStyle w:val="0"/>
        <w:spacing w:before="200" w:line-rule="auto"/>
        <w:ind w:firstLine="540"/>
        <w:jc w:val="both"/>
      </w:pPr>
      <w:r>
        <w:rPr>
          <w:sz w:val="20"/>
        </w:rPr>
        <w:t xml:space="preserve">з) затраты на приобретение транспортных услуг;</w:t>
      </w:r>
    </w:p>
    <w:p>
      <w:pPr>
        <w:pStyle w:val="0"/>
        <w:spacing w:before="200" w:line-rule="auto"/>
        <w:ind w:firstLine="540"/>
        <w:jc w:val="both"/>
      </w:pPr>
      <w:r>
        <w:rPr>
          <w:sz w:val="20"/>
        </w:rPr>
        <w:t xml:space="preserve">и) затраты на оплату труда с начислениями на выплаты по оплате труда, включая административно-управленческий персонал, в случаях, установленных стандартами услуги;</w:t>
      </w:r>
    </w:p>
    <w:p>
      <w:pPr>
        <w:pStyle w:val="0"/>
        <w:spacing w:before="200" w:line-rule="auto"/>
        <w:ind w:firstLine="540"/>
        <w:jc w:val="both"/>
      </w:pPr>
      <w:r>
        <w:rPr>
          <w:sz w:val="20"/>
        </w:rPr>
        <w:t xml:space="preserve">к) затраты на прочие общехозяйственные нужды.</w:t>
      </w:r>
    </w:p>
    <w:p>
      <w:pPr>
        <w:pStyle w:val="0"/>
        <w:spacing w:before="200" w:line-rule="auto"/>
        <w:ind w:firstLine="540"/>
        <w:jc w:val="both"/>
      </w:pPr>
      <w:r>
        <w:rPr>
          <w:sz w:val="20"/>
        </w:rPr>
        <w:t xml:space="preserve">8. 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 установленные нормативными правовыми актами Российской Федерации, а также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и регламентами выполнения работ в установленной сфере.</w:t>
      </w:r>
    </w:p>
    <w:p>
      <w:pPr>
        <w:pStyle w:val="0"/>
        <w:spacing w:before="200" w:line-rule="auto"/>
        <w:ind w:firstLine="540"/>
        <w:jc w:val="both"/>
      </w:pPr>
      <w:r>
        <w:rPr>
          <w:sz w:val="20"/>
        </w:rPr>
        <w:t xml:space="preserve">При отсутствии норм, выраженных в натуральных показателях, установленных стандартом выполнения работы, в отношении работы, оказываемой муниципальными учреждениями, нормы, выраженные в натуральных показателях, определяются на основе анализа и усреднения показателей деятельности муниципального учреждения, которое имеет минимальный объем затрат на выполнение единицы работы при соблюдении требований к качеству выполнения работ, отраженных в перечнях услуг и работ, либо на основе медианного значения по муниципальным учреждениям, выполняющим работу в установленной сфере деятельности, либо иным методом, разработанным и утвержденным правовым актом учредителя (в отношении муниципальных автономных и бюджетных учреждений округа), а также ГРБС (в случае принятия им решения о применении нормативных затрат при расчете объема финансового обеспечения выполнения муниципального задания казенному учреждению).</w:t>
      </w:r>
    </w:p>
    <w:p>
      <w:pPr>
        <w:pStyle w:val="0"/>
        <w:spacing w:before="200" w:line-rule="auto"/>
        <w:ind w:firstLine="540"/>
        <w:jc w:val="both"/>
      </w:pPr>
      <w:r>
        <w:rPr>
          <w:sz w:val="20"/>
        </w:rPr>
        <w:t xml:space="preserve">9. Значения нормативных затрат на выполнение работ утверждаются учредителем, а также ГРБС (в случае принятия им решения о применении нормативных затрат при расчете объема финансового обеспечения выполнения муниципального задания казенному учреждению).</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Кунгурского муниципального округа от 21.09.2021 N 1008-171-01-09</w:t>
            <w:br/>
            <w:t>(ред. от 07.12.2021)</w:t>
            <w:br/>
            <w:t>"Об ут...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12.09.2023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Кунгурского муниципального округа от 21.09.2021 N 1008-171-01-09</w:t>
            <w:br/>
            <w:t>(ред. от 07.12.2021)</w:t>
            <w:br/>
            <w:t>"Об ут...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E9BE9A6FC29163E6747436068A8404E1FCB8B8FA14457F629BA743CFCC6C6A17CF312291199CB9EBB59196B0FB75FD5BA9DD4635B1A477398816CF3k703L" TargetMode = "External"/>
	<Relationship Id="rId8" Type="http://schemas.openxmlformats.org/officeDocument/2006/relationships/hyperlink" Target="consultantplus://offline/ref=FE9BE9A6FC29163E674743766BC4174313C5D180A54058A276E6726BA396C0F43CB3147957DDC194EF085D3E07BD099AFEC1C7605906k404L" TargetMode = "External"/>
	<Relationship Id="rId9" Type="http://schemas.openxmlformats.org/officeDocument/2006/relationships/hyperlink" Target="consultantplus://offline/ref=FE9BE9A6FC29163E674743766BC4174313C5D180A54058A276E6726BA396C0F43CB3147C51D5C794EF085D3E07BD099AFEC1C7605906k404L" TargetMode = "External"/>
	<Relationship Id="rId10" Type="http://schemas.openxmlformats.org/officeDocument/2006/relationships/hyperlink" Target="consultantplus://offline/ref=FE9BE9A6FC29163E674743766BC4174313C5D681A14558A276E6726BA396C0F43CB3147F51D9CDCBEA1D4C660BBE1584F7D6DB625Bk007L" TargetMode = "External"/>
	<Relationship Id="rId11" Type="http://schemas.openxmlformats.org/officeDocument/2006/relationships/hyperlink" Target="consultantplus://offline/ref=FE9BE9A6FC29163E674743766BC4174313C3D48AA84358A276E6726BA396C0F43CB3147C52DDC69AB9524D3A4EE90685FCD6D96B47064778k805L" TargetMode = "External"/>
	<Relationship Id="rId12" Type="http://schemas.openxmlformats.org/officeDocument/2006/relationships/hyperlink" Target="consultantplus://offline/ref=FE9BE9A6FC29163E6747436068A8404E1FCB8B8FA14457F629BA743CFCC6C6A17CF312291199CB9EBB59196B0FB75FD5BA9DD4635B1A477398816CF3k703L" TargetMode = "External"/>
	<Relationship Id="rId13" Type="http://schemas.openxmlformats.org/officeDocument/2006/relationships/image" Target="media/image2.wmf"/>
	<Relationship Id="rId14" Type="http://schemas.openxmlformats.org/officeDocument/2006/relationships/hyperlink" Target="consultantplus://offline/ref=FE9BE9A6FC29163E6747436068A8404E1FCB8B8FA14457F629BA743CFCC6C6A17CF312291199CB9EBB59196B0FB75FD5BA9DD4635B1A477398816CF3k703L" TargetMode = "External"/>
	<Relationship Id="rId15" Type="http://schemas.openxmlformats.org/officeDocument/2006/relationships/hyperlink" Target="consultantplus://offline/ref=FE9BE9A6FC29163E674743766BC4174316C2DC81A44758A276E6726BA396C0F42EB34C7053DFD89FB2471B6B08kB0FL" TargetMode = "External"/>
	<Relationship Id="rId16" Type="http://schemas.openxmlformats.org/officeDocument/2006/relationships/hyperlink" Target="consultantplus://offline/ref=FE9BE9A6FC29163E674743766BC4174313C4DC8BA64158A276E6726BA396C0F42EB34C7053DFD89FB2471B6B08kB0FL" TargetMode = "External"/>
	<Relationship Id="rId17" Type="http://schemas.openxmlformats.org/officeDocument/2006/relationships/hyperlink" Target="consultantplus://offline/ref=FE9BE9A6FC29163E674743766BC4174313C5D186A84A58A276E6726BA396C0F42EB34C7053DFD89FB2471B6B08kB0FL" TargetMode = "External"/>
	<Relationship Id="rId18" Type="http://schemas.openxmlformats.org/officeDocument/2006/relationships/hyperlink" Target="consultantplus://offline/ref=FE9BE9A6FC29163E674743766BC4174313C5D186A84A58A276E6726BA396C0F42EB34C7053DFD89FB2471B6B08kB0FL" TargetMode = "External"/>
	<Relationship Id="rId19" Type="http://schemas.openxmlformats.org/officeDocument/2006/relationships/hyperlink" Target="consultantplus://offline/ref=FE9BE9A6FC29163E674743766BC4174313C5D186A84A58A276E6726BA396C0F42EB34C7053DFD89FB2471B6B08kB0FL" TargetMode = "External"/>
	<Relationship Id="rId20" Type="http://schemas.openxmlformats.org/officeDocument/2006/relationships/header" Target="header2.xml"/>
	<Relationship Id="rId21" Type="http://schemas.openxmlformats.org/officeDocument/2006/relationships/footer" Target="footer2.xml"/>
	<Relationship Id="rId22" Type="http://schemas.openxmlformats.org/officeDocument/2006/relationships/hyperlink" Target="consultantplus://offline/ref=FE9BE9A6FC29163E674743766BC4174313C4D483A34658A276E6726BA396C0F42EB34C7053DFD89FB2471B6B08kB0FL" TargetMode = "External"/>
	<Relationship Id="rId23" Type="http://schemas.openxmlformats.org/officeDocument/2006/relationships/hyperlink" Target="consultantplus://offline/ref=FE9BE9A6FC29163E674743766BC4174313C4D483A34658A276E6726BA396C0F42EB34C7053DFD89FB2471B6B08kB0FL" TargetMode = "External"/>
	<Relationship Id="rId24" Type="http://schemas.openxmlformats.org/officeDocument/2006/relationships/hyperlink" Target="consultantplus://offline/ref=FE9BE9A6FC29163E674743766BC4174313C4D483A34658A276E6726BA396C0F42EB34C7053DFD89FB2471B6B08kB0FL" TargetMode = "External"/>
	<Relationship Id="rId25" Type="http://schemas.openxmlformats.org/officeDocument/2006/relationships/hyperlink" Target="consultantplus://offline/ref=FE9BE9A6FC29163E674743766BC4174313C4D483A34658A276E6726BA396C0F42EB34C7053DFD89FB2471B6B08kB0FL" TargetMode = "External"/>
	<Relationship Id="rId26" Type="http://schemas.openxmlformats.org/officeDocument/2006/relationships/hyperlink" Target="consultantplus://offline/ref=FE9BE9A6FC29163E674743766BC4174313C4DC8BA64158A276E6726BA396C0F42EB34C7053DFD89FB2471B6B08kB0FL" TargetMode = "External"/>
	<Relationship Id="rId27" Type="http://schemas.openxmlformats.org/officeDocument/2006/relationships/hyperlink" Target="consultantplus://offline/ref=FE9BE9A6FC29163E674743766BC4174313C5D186A84A58A276E6726BA396C0F42EB34C7053DFD89FB2471B6B08kB0FL" TargetMode = "External"/>
	<Relationship Id="rId28" Type="http://schemas.openxmlformats.org/officeDocument/2006/relationships/hyperlink" Target="consultantplus://offline/ref=FE9BE9A6FC29163E674743766BC4174313C5D186A84A58A276E6726BA396C0F42EB34C7053DFD89FB2471B6B08kB0FL" TargetMode = "External"/>
	<Relationship Id="rId29" Type="http://schemas.openxmlformats.org/officeDocument/2006/relationships/hyperlink" Target="consultantplus://offline/ref=FE9BE9A6FC29163E674743766BC4174313C5D186A84A58A276E6726BA396C0F42EB34C7053DFD89FB2471B6B08kB0FL" TargetMode = "External"/>
	<Relationship Id="rId30" Type="http://schemas.openxmlformats.org/officeDocument/2006/relationships/hyperlink" Target="consultantplus://offline/ref=FE9BE9A6FC29163E674743766BC4174313C4D483A34658A276E6726BA396C0F42EB34C7053DFD89FB2471B6B08kB0FL" TargetMode = "External"/>
	<Relationship Id="rId31" Type="http://schemas.openxmlformats.org/officeDocument/2006/relationships/hyperlink" Target="consultantplus://offline/ref=FE9BE9A6FC29163E674743766BC4174313C4D483A34658A276E6726BA396C0F42EB34C7053DFD89FB2471B6B08kB0FL" TargetMode = "External"/>
	<Relationship Id="rId32" Type="http://schemas.openxmlformats.org/officeDocument/2006/relationships/hyperlink" Target="consultantplus://offline/ref=FE9BE9A6FC29163E674743766BC4174313C4D483A34658A276E6726BA396C0F42EB34C7053DFD89FB2471B6B08kB0FL" TargetMode = "External"/>
	<Relationship Id="rId33" Type="http://schemas.openxmlformats.org/officeDocument/2006/relationships/hyperlink" Target="consultantplus://offline/ref=FE9BE9A6FC29163E674743766BC4174313C4D483A34658A276E6726BA396C0F42EB34C7053DFD89FB2471B6B08kB0F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Кунгурского муниципального округа от 21.09.2021 N 1008-171-01-09
(ред. от 07.12.2021)
"Об утверждении Порядка формирования муниципального задания на оказание муниципальных услуг (выполнение) работ в отношении муниципальных учреждений Кунгурского муниципального округа Пермского края и финансового обеспечения выполнения муниципального задания"</dc:title>
  <dcterms:created xsi:type="dcterms:W3CDTF">2023-09-12T11:52:36Z</dcterms:created>
</cp:coreProperties>
</file>