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Минпросвещения России от 13.03.2023 N ДГ-392/06</w:t>
              <w:br/>
              <w:t xml:space="preserve">"О методических рекомендациях"</w:t>
              <w:br/>
              <w:t xml:space="preserve">(вместе с "Методическими рекомендациями по созданию школьных спортивных клубов в малокомплектных общеобразовательных организациях с малым контингентом обучающихся, с учетом развития индивидуальных видов спорта")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12.09.2023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ПИСЬМО</w:t>
      </w:r>
    </w:p>
    <w:p>
      <w:pPr>
        <w:pStyle w:val="2"/>
        <w:jc w:val="center"/>
      </w:pPr>
      <w:r>
        <w:rPr>
          <w:sz w:val="20"/>
        </w:rPr>
        <w:t xml:space="preserve">от 13 марта 2023 г. N ДГ-392/06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МЕТОДИЧЕСКИХ РЕКОМЕНДАЦИЯХ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имеется в виду перечень поручений Президента РФ N Пр-2397 от 22.11.2019, а не от 22.11.2021.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В рамках выполнения </w:t>
      </w:r>
      <w:hyperlink w:history="0" r:id="rId7" w:tooltip="Ссылка на КонсультантПлюс">
        <w:r>
          <w:rPr>
            <w:sz w:val="20"/>
            <w:color w:val="0000ff"/>
          </w:rPr>
          <w:t xml:space="preserve">части 2 подпункта "б" пункта 1</w:t>
        </w:r>
      </w:hyperlink>
      <w:r>
        <w:rPr>
          <w:sz w:val="20"/>
        </w:rPr>
        <w:t xml:space="preserve"> перечня поручений Президента Российской Федерации от 22 ноября 2021 г. N Пр-2397, данных по итогам заседания Совета при Президенте Российской Федерации по развитию физической культуры и спорта 10 октября 2019 г., касающегося завершения создания школьных спортивных клубов в общеобразовательных организациях, Минпросвещения России направляет для использования в работе Методические </w:t>
      </w:r>
      <w:hyperlink w:history="0" w:anchor="P24" w:tooltip="МЕТОДИЧЕСКИЕ РЕКОМЕНДАЦИИ">
        <w:r>
          <w:rPr>
            <w:sz w:val="20"/>
            <w:color w:val="0000ff"/>
          </w:rPr>
          <w:t xml:space="preserve">рекомендации</w:t>
        </w:r>
      </w:hyperlink>
      <w:r>
        <w:rPr>
          <w:sz w:val="20"/>
        </w:rPr>
        <w:t xml:space="preserve"> по созданию школьных спортивных клубов в малокомплектных общеобразовательных организациях с малым контингентом обучающихся, с учетом развития индивидуальных видов спорта.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Д.Е.ГРИБОВ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Утверждаю</w:t>
      </w:r>
    </w:p>
    <w:p>
      <w:pPr>
        <w:pStyle w:val="0"/>
        <w:jc w:val="right"/>
      </w:pPr>
      <w:r>
        <w:rPr>
          <w:sz w:val="20"/>
        </w:rPr>
        <w:t xml:space="preserve">И.о. директора ФГБУ "Федеральный центр</w:t>
      </w:r>
    </w:p>
    <w:p>
      <w:pPr>
        <w:pStyle w:val="0"/>
        <w:jc w:val="right"/>
      </w:pPr>
      <w:r>
        <w:rPr>
          <w:sz w:val="20"/>
        </w:rPr>
        <w:t xml:space="preserve">организационно-методического воспитания"</w:t>
      </w:r>
    </w:p>
    <w:p>
      <w:pPr>
        <w:pStyle w:val="0"/>
        <w:jc w:val="right"/>
      </w:pPr>
      <w:r>
        <w:rPr>
          <w:sz w:val="20"/>
        </w:rPr>
        <w:t xml:space="preserve">С.А.ТАИРОВ</w:t>
      </w:r>
    </w:p>
    <w:p>
      <w:pPr>
        <w:pStyle w:val="0"/>
        <w:jc w:val="right"/>
      </w:pPr>
      <w:r>
        <w:rPr>
          <w:sz w:val="20"/>
        </w:rPr>
        <w:t xml:space="preserve">"__" __________ 2023 г.</w:t>
      </w:r>
    </w:p>
    <w:p>
      <w:pPr>
        <w:pStyle w:val="0"/>
        <w:jc w:val="both"/>
      </w:pPr>
      <w:r>
        <w:rPr>
          <w:sz w:val="20"/>
        </w:rPr>
      </w:r>
    </w:p>
    <w:bookmarkStart w:id="24" w:name="P24"/>
    <w:bookmarkEnd w:id="24"/>
    <w:p>
      <w:pPr>
        <w:pStyle w:val="2"/>
        <w:jc w:val="center"/>
      </w:pPr>
      <w:r>
        <w:rPr>
          <w:sz w:val="20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0"/>
        </w:rPr>
        <w:t xml:space="preserve">ПО СОЗДАНИЮ ШКОЛЬНЫХ СПОРТИВНЫХ КЛУБОВ В МАЛОКОМПЛЕКТНЫХ</w:t>
      </w:r>
    </w:p>
    <w:p>
      <w:pPr>
        <w:pStyle w:val="2"/>
        <w:jc w:val="center"/>
      </w:pPr>
      <w:r>
        <w:rPr>
          <w:sz w:val="20"/>
        </w:rPr>
        <w:t xml:space="preserve">ОБЩЕОБРАЗОВАТЕЛЬНЫХ ОРГАНИЗАЦИЯХ С МАЛЫМ КОНТИНГЕНТОМ</w:t>
      </w:r>
    </w:p>
    <w:p>
      <w:pPr>
        <w:pStyle w:val="2"/>
        <w:jc w:val="center"/>
      </w:pPr>
      <w:r>
        <w:rPr>
          <w:sz w:val="20"/>
        </w:rPr>
        <w:t xml:space="preserve">ОБУЧАЮЩИХСЯ, С УЧЕТОМ РАЗВИТИЯ ИНДИВИДУАЛЬНЫХ ВИДОВ СПОРТА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Методические рекомендации по созданию школьных спортивных клубов в малокомплектных общеобразовательных организациях с малым контингентом обучающихся (далее - Методические рекомендации), предназначены для учителей физической культуры, педагогов дополнительного образования, руководителей школьных спортивных клубов, органов исполнительной власти субъектов Российской Федерации, осуществляющих государственное управление в сфере образования, представителей региональных ресурсных центров физкультурно-спортивной направленности, а также всех участников образовательных отношений.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1. Нормативные правовые и организационные основы</w:t>
      </w:r>
    </w:p>
    <w:p>
      <w:pPr>
        <w:pStyle w:val="2"/>
        <w:jc w:val="center"/>
      </w:pPr>
      <w:r>
        <w:rPr>
          <w:sz w:val="20"/>
        </w:rPr>
        <w:t xml:space="preserve">деятельности школьных спортивных клубов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настоящее время созданы нормативные правовые и организационные основы для образовательных организаций по оказанию содействия в создании и обеспечении деятельности школьных спортивных клубов: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</w:t>
      </w:r>
      <w:hyperlink w:history="0" r:id="rId8" w:tooltip="Федеральный закон от 04.12.2007 N 329-ФЗ (ред. от 24.06.2023) &quot;О физической культуре и спорте в Российской Федерации&quot; {КонсультантПлюс}">
        <w:r>
          <w:rPr>
            <w:sz w:val="20"/>
            <w:color w:val="0000ff"/>
          </w:rPr>
          <w:t xml:space="preserve">Статьей 28</w:t>
        </w:r>
      </w:hyperlink>
      <w:r>
        <w:rPr>
          <w:sz w:val="20"/>
        </w:rPr>
        <w:t xml:space="preserve"> Федерального закона от 4 декабря 2007 г. N 329-ФЗ "О физической культуре и спорте в Российской Федерации" определено, что в целях вовлечения обучающихся в занятия физической культурой и спортом образовательными организациями могут создаваться школьные спортивные клубы.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</w:t>
      </w:r>
      <w:hyperlink w:history="0" r:id="rId9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Статьей 27</w:t>
        </w:r>
      </w:hyperlink>
      <w:r>
        <w:rPr>
          <w:sz w:val="20"/>
        </w:rPr>
        <w:t xml:space="preserve"> Федерального закона от 29 декабря 2012 г. N 273-ФЗ "Об образовании в Российской Федерации" (далее - Федеральный закон) установлено, что образовательная организация может иметь в своей структуре школьный спортивный клуб.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 соответствии с </w:t>
      </w:r>
      <w:hyperlink w:history="0" r:id="rId10" w:tooltip="Ссылка на КонсультантПлюс">
        <w:r>
          <w:rPr>
            <w:sz w:val="20"/>
            <w:color w:val="0000ff"/>
          </w:rPr>
          <w:t xml:space="preserve">перечнем</w:t>
        </w:r>
      </w:hyperlink>
      <w:r>
        <w:rPr>
          <w:sz w:val="20"/>
        </w:rPr>
        <w:t xml:space="preserve">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10 октября 2019 г. N Пр-2397 к 2024 году необходимо завершить создание школьных спортивных клубов в каждой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</w:t>
      </w:r>
      <w:hyperlink w:history="0" r:id="rId11" w:tooltip="Распоряжение Правительства РФ от 24.11.2020 N 3081-р (ред. от 29.04.2023) &lt;Об утверждении Стратегии развития физической культуры и спорта в Российской Федерации на период до 2030 года&gt; {КонсультантПлюс}">
        <w:r>
          <w:rPr>
            <w:sz w:val="20"/>
            <w:color w:val="0000ff"/>
          </w:rPr>
          <w:t xml:space="preserve">Стратегией</w:t>
        </w:r>
      </w:hyperlink>
      <w:r>
        <w:rPr>
          <w:sz w:val="20"/>
        </w:rPr>
        <w:t xml:space="preserve"> развития физической культуры и спорта в Российской Федерации на период до 2030 года, утвержденной распоряжением Правительства Российской Федерации от 24 ноября 2020 г. N 3081-р к одним из приоритетных направлений развития сферы физической культуры и спорта отнесена организация внеурочной деятельности физкультурно-спортивной направленности в общеобразовательных организациях, направленной на увеличение сети школьных спортивных клубов, участие таких клубов в физкультурных и спортивных мероприятиях.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</w:t>
      </w:r>
      <w:hyperlink w:history="0" r:id="rId12" w:tooltip="Распоряжение Правительства РФ от 31.03.2022 N 678-р (ред. от 15.05.2023) &lt;Об утверждении Концепции развития дополнительного образования детей и признании утратившим силу Распоряжения Правительства РФ от 04.09.2014 N 1726-р&gt; (вместе с &quot;Концепцией развития дополнительного образования детей до 2030 года&quot;) {КонсультантПлюс}">
        <w:r>
          <w:rPr>
            <w:sz w:val="20"/>
            <w:color w:val="0000ff"/>
          </w:rPr>
          <w:t xml:space="preserve">Концепцией</w:t>
        </w:r>
      </w:hyperlink>
      <w:r>
        <w:rPr>
          <w:sz w:val="20"/>
        </w:rPr>
        <w:t xml:space="preserve"> развития детско-юношеского спорта до 2030 года, утвержденной распоряжением Правительства Российской Федерации от 28 декабря 2021 г. N 3894-р установлено, что к основным направлениям и мероприятиям по развитию детско-юношеского спорта, в том числе, относится развитие школьных спортивных клубов.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</w:t>
      </w:r>
      <w:hyperlink w:history="0" r:id="rId13" w:tooltip="Распоряжение Правительства РФ от 31.03.2022 N 678-р (ред. от 15.05.2023) &lt;Об утверждении Концепции развития дополнительного образования детей и признании утратившим силу Распоряжения Правительства РФ от 04.09.2014 N 1726-р&gt; (вместе с &quot;Концепцией развития дополнительного образования детей до 2030 года&quot;) {КонсультантПлюс}">
        <w:r>
          <w:rPr>
            <w:sz w:val="20"/>
            <w:color w:val="0000ff"/>
          </w:rPr>
          <w:t xml:space="preserve">Концепций</w:t>
        </w:r>
      </w:hyperlink>
      <w:r>
        <w:rPr>
          <w:sz w:val="20"/>
        </w:rPr>
        <w:t xml:space="preserve"> развития дополнительного образования детей до 2030 года, утвержденной распоряжением Правительства Российской Федерации от 31 марта 2022 г. N 678-р одной из задач дополнительного образования детей определено создание на базе общеобразовательных организаций сети школьных спортивных клубов по видам спорта для формирования здорового образа жизни обучающихся.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имеется в виду Приказ Минпросвещения России N 117 от 23.03.2020, а не от 25.03.2020.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8. Приказом Минпросвещения России от 25 марта 2020 г. N 117 утвержден </w:t>
      </w:r>
      <w:hyperlink w:history="0" r:id="rId14" w:tooltip="Приказ Минпросвещения России от 23.03.2020 N 117 &quot;Об утверждении Порядка осуществления деятельности школьных спортивных клубов (в том числе в виде общественных объединений), не являющихся юридическими лицами&quot; (Зарегистрировано в Минюсте России 23.04.2020 N 58189) {КонсультантПлюс}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осуществления деятельности школьных спортивных клубов (в том числе в виде общественных объединений), не являющихся юридическими лицами.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9. Межотраслевой программой развития школьного спорта до 2024 года, утвержденной совместным приказом Минспорта России и Минпросвещения России от 17 февраля 2021 г. N 89/56 определены механизмы развития школьного спорта, в том числе школьных спортивных клубов и направления по совершенствованию физкультурной и спортивной работы с детьми.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10. Методическими </w:t>
      </w:r>
      <w:hyperlink w:history="0" r:id="rId15" w:tooltip="&quot;Методические рекомендации по созданию школьных спортивных клубов общеобразовательных организаций&quot; (утв. Минпросвещением России 28.09.2021 N 06-1400) {КонсультантПлюс}">
        <w:r>
          <w:rPr>
            <w:sz w:val="20"/>
            <w:color w:val="0000ff"/>
          </w:rPr>
          <w:t xml:space="preserve">рекомендациями</w:t>
        </w:r>
      </w:hyperlink>
      <w:r>
        <w:rPr>
          <w:sz w:val="20"/>
        </w:rPr>
        <w:t xml:space="preserve"> по созданию школьных спортивных клубов общеобразовательных организаций определен алгоритм их создания (письмо Минпросвещения России от 28 сентября 2021 г. N 06-1400 в органы исполнительной власти субъектов Российской Федерации, осуществляющих государственное управление в сфере образования).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11. Резолюций прошедшего 19 - 22 октября 2022 г. в г. Казани Всероссийского Форума школьных спортивных клубов "Школьный спорт - путь к успеху каждого ребенка" даны рекомендации по дальнейшему межведомственному взаимодействию на все уровнях государственной власти по развитию школьных спортивных клубов (</w:t>
      </w:r>
      <w:hyperlink w:history="0" r:id="rId16" w:tooltip="Ссылка на КонсультантПлюс">
        <w:r>
          <w:rPr>
            <w:sz w:val="20"/>
            <w:color w:val="0000ff"/>
          </w:rPr>
          <w:t xml:space="preserve">письмо</w:t>
        </w:r>
      </w:hyperlink>
      <w:r>
        <w:rPr>
          <w:sz w:val="20"/>
        </w:rPr>
        <w:t xml:space="preserve"> Минпросвещения России от 17 ноября 2022 г. N АБ-3509/06 в органы исполнительной власти субъектов Российской Федерации, осуществляющих государственное управление в сфере образования).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 Общие положения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имеется в виду Приказ Минпросвещения России N 117 от 23.03.2020, а не от 25.03.2020.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Школьный спортивный клуб (далее - ШСК) в малокомплектных школах создается и осуществляет свою деятельность в соответствии с их </w:t>
      </w:r>
      <w:hyperlink w:history="0" r:id="rId17" w:tooltip="Приказ Минпросвещения России от 23.03.2020 N 117 &quot;Об утверждении Порядка осуществления деятельности школьных спортивных клубов (в том числе в виде общественных объединений), не являющихся юридическими лицами&quot; (Зарегистрировано в Минюсте России 23.04.2020 N 58189) {КонсультантПлюс}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деятельности, утвержденным приказом Минпросвещения от 25 марта 2020 г. N 117, а также методическими </w:t>
      </w:r>
      <w:hyperlink w:history="0" r:id="rId18" w:tooltip="&quot;Методические рекомендации по созданию школьных спортивных клубов общеобразовательных организаций&quot; (утв. Минпросвещением России 28.09.2021 N 06-1400) {КонсультантПлюс}">
        <w:r>
          <w:rPr>
            <w:sz w:val="20"/>
            <w:color w:val="0000ff"/>
          </w:rPr>
          <w:t xml:space="preserve">рекомендациями</w:t>
        </w:r>
      </w:hyperlink>
      <w:r>
        <w:rPr>
          <w:sz w:val="20"/>
        </w:rPr>
        <w:t xml:space="preserve"> по созданию школьных спортивных клубов в общеобразовательных организациях (письмо Минпросвещения России от 28 сентября 2021 г. N 06-1400), в целях вовлечения обучающихся в систематические занятия физической культурой и спортом, развития и популяризации школьного спорта, традиционных и наиболее популярных в субъекте Российской Федерации видов спорта, формирования здорового образа жизни.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Согласно положениям </w:t>
      </w:r>
      <w:hyperlink w:history="0" r:id="rId19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части 4 статьи 99</w:t>
        </w:r>
      </w:hyperlink>
      <w:r>
        <w:rPr>
          <w:sz w:val="20"/>
        </w:rPr>
        <w:t xml:space="preserve"> Федерального закона органы государственной власти субъектов Российской Федерации относят к малокомплектным образовательным организациям образовательные организации, реализующие основные общеобразовательные программы, исходя из удаленности этих образовательных организаций от иных образовательных организаций, транспортной доступности и (или) численности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Органы государственной власти субъектов Российской Федерации, руководствуясь нормами </w:t>
      </w:r>
      <w:hyperlink w:history="0" r:id="rId20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статьи 99</w:t>
        </w:r>
      </w:hyperlink>
      <w:r>
        <w:rPr>
          <w:sz w:val="20"/>
        </w:rPr>
        <w:t xml:space="preserve"> Федерального закона, самостоятельно разрабатывают порядок отнесения образовательных организаций к малокомплектным, учитывая при этом региональные, социально-экономические, демографические и другие особенности субъектов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Необходимо обратить внимание на применение в Федеральном </w:t>
      </w:r>
      <w:hyperlink w:history="0" r:id="rId21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законе</w:t>
        </w:r>
      </w:hyperlink>
      <w:r>
        <w:rPr>
          <w:sz w:val="20"/>
        </w:rPr>
        <w:t xml:space="preserve"> вариативной нормы при определении критериев отнесения образовательной организации к малокомплектной в отношении транспортной доступности и численности обучающихся: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образовательная организация может быть признана малокомплектной исходя из удаленности образовательной организации от иных образовательных организаций, транспортной доступности и численности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образовательная организация может быть признана малокомплектной исходя из удаленности образовательной организации от иных образовательных организаций, транспортной доступности или численности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22" w:tooltip="Ссылка на КонсультантПлюс">
        <w:r>
          <w:rPr>
            <w:sz w:val="20"/>
            <w:color w:val="0000ff"/>
          </w:rPr>
          <w:t xml:space="preserve">Стратегией</w:t>
        </w:r>
      </w:hyperlink>
      <w:r>
        <w:rPr>
          <w:sz w:val="20"/>
        </w:rPr>
        <w:t xml:space="preserve"> устойчивого развития сельских территорий Российской Федерации на период до 2030 года, утвержденной постановлением Правительства Российской Федерации от 2 февраля 2015 г. N 151-р улучшение доступа сельского населения к объектам социальной инфраструктуры нацелено на улучшение среды обитания людей, проживающих в сельской местности. Для успешной реализации этого направления в первую очередь необходимо укрепить сферу дополнительного образования и развития детей в сельской местности на основе организаций образования, культуры и спорта.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1 января 2021 года к малокомплектным школам предъявляются общеустановленные санитарно-эпидемиологические требования - Санитарные правила </w:t>
      </w:r>
      <w:hyperlink w:history="0" r:id="rId23" w:tooltip="Постановление Главного государственного санитарного врача РФ от 28.09.2020 N 28 &quot;Об утверждении санитарных правил СП 2.4.3648-20 &quot;Санитарно-эпидемиологические требования к организациям воспитания и обучения, отдыха и оздоровления детей и молодежи&quot; (вместе с &quot;СП 2.4.3648-20. Санитарные правила...&quot;) (Зарегистрировано в Минюсте России 18.12.2020 N 61573) {КонсультантПлюс}">
        <w:r>
          <w:rPr>
            <w:sz w:val="20"/>
            <w:color w:val="0000ff"/>
          </w:rPr>
          <w:t xml:space="preserve">СП 2.4.3648-20</w:t>
        </w:r>
      </w:hyperlink>
      <w:r>
        <w:rPr>
          <w:sz w:val="20"/>
        </w:rPr>
        <w:t xml:space="preserve"> "Санитарно-эпидемиологические требования к организациям воспитания и обучения, отдыха и оздоровления детей и молодежи", утв. постановлением Главного государственного санитарного врача Российской Федерации от 28 сентября 2020 г. N 28.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В официальном тексте документа, видимо, допущена опечатка: имеется в виду Приказ Минпросвещения России N 117 от 23.03.2020, а не от 25.03.2020.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24" w:tooltip="Приказ Минпросвещения России от 23.03.2020 N 117 &quot;Об утверждении Порядка осуществления деятельности школьных спортивных клубов (в том числе в виде общественных объединений), не являющихся юридическими лицами&quot; (Зарегистрировано в Минюсте России 23.04.2020 N 58189) {КонсультантПлюс}">
        <w:r>
          <w:rPr>
            <w:sz w:val="20"/>
            <w:color w:val="0000ff"/>
          </w:rPr>
          <w:t xml:space="preserve">приказом</w:t>
        </w:r>
      </w:hyperlink>
      <w:r>
        <w:rPr>
          <w:sz w:val="20"/>
        </w:rPr>
        <w:t xml:space="preserve"> Минпросвещения от 25 марта 2020 г. N 117 основными задачами деятельности школьных спортивных клубов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вовлечение обучающихся в систематические занятия физической культурой и спортом, формирование у них мотивации и устойчивого интереса к укреплению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физкультурно-спортивной работы с обучающимися;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участие в спортивных соревнованиях различного уровня среди образовательных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развитие волонтерского движения по пропаганде здорового образа жизни;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оказание содействия обучающимся, членам спортивных сборных команд образовательных организаций в создании необходимых условий для эффективной организации образовательного и тренировочного процессов;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спортивно-массовой работы с обучающимися, имеющими отклонения в состоянии здоровья, ограниченные возможности здоровья.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особенностям малокомплектной общеобразовательной организации относится: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неравномерная наполняемостью классов или отсутствие отдельных классов; наличие классов, где вместе обучаются дети разных возрастов;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слабо развитая спортивная инфраструктура общеобразовательной организации, а иногда отсутствие спортивного зала;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отдаленность школы от других общеобразовательных организаций, организаций дополнительного образования физкультурно-спортивной направленности.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Разнообразие направлений деятельности ШСК в полной мере способствует гармоничному развитию личности каждого ребенка, формирует его активную жизненную и гражданскую позицию, мотивирует на участие в деятельности ШСК, спортивно-массовых мероприятиях, программах воспитания и социализации.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Школьный спортивный клуб в малокомплектных общеобразовательных организациях с малым контингентом обучающихся призван обеспечивать многообразие внеурочных форм исходя из возможностей общеобразовательной организации и количества обучающихся, а также: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организовать эффективное взаимодействие детей разного возраста, общение обучающихся разных классов во внеурочной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рационально объединить классы, возрастной диапазон не должен превышать 3 - 4 года;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команды для участия в соревнованиях могут быть "сборными", состоящими из обучающихся разных классов;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учтет возрастных особенностей детей при реализации воспитательного потенциала дополнительных общеобразовательных программ физкультурно-спортивной направленности.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Малая наполняемость классов дает учителю возможность организовать личностно-ориентированный учебно-воспитательный процесс. Небольшой разновозрастный коллектив создает условия для воспитания и обучения младших старшими.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Эффективность работы малокомплектной общеобразовательной организации определяется условиями, связанными с организацией и проведением уроков, внеклассной и воспитательной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Систему взаимосвязанных форм организации физического воспитания обучающихся в малокомплектной общеобразовательной организации составляют уроки физической культуры, физкультурно-оздоровительные мероприятия в режиме учебного дня, обязательные для общеобразовательной организации формы внеклассной спортивно-массовой работы, соревновательная деятельность. Также для учащихся следует учитывать ежедневные часы занятий физическими упражнениями в группах продленного дня и самостоятельные занятия обучающихся. Подобные занятия осуществляются по рекомендациям учителя физической культуры.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Учителю физической культуры, необходимо принимать во внимание особенности физического воспитания учащихся в малокомплектной общеобразовательной организации. На занятиях физическими упражнениями требуется четкая дифференциация физической нагрузки.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Следует обратить внимание на методическое обеспечение педагогического коллектива при организации работы ШСК, а также реализации дополнительных общеразвивающих программ физкультурно-спортивной направленности и проведения спортивно-массовых и физкультурных мероприятий.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3. Основные направления деятельности по созданию</w:t>
      </w:r>
    </w:p>
    <w:p>
      <w:pPr>
        <w:pStyle w:val="2"/>
        <w:jc w:val="center"/>
      </w:pPr>
      <w:r>
        <w:rPr>
          <w:sz w:val="20"/>
        </w:rPr>
        <w:t xml:space="preserve">условий для организации школьного спортивного клуба</w:t>
      </w:r>
    </w:p>
    <w:p>
      <w:pPr>
        <w:pStyle w:val="2"/>
        <w:jc w:val="center"/>
      </w:pPr>
      <w:r>
        <w:rPr>
          <w:sz w:val="20"/>
        </w:rPr>
        <w:t xml:space="preserve">и совершенствования системы образования</w:t>
      </w:r>
    </w:p>
    <w:p>
      <w:pPr>
        <w:pStyle w:val="2"/>
        <w:jc w:val="center"/>
      </w:pPr>
      <w:r>
        <w:rPr>
          <w:sz w:val="20"/>
        </w:rPr>
        <w:t xml:space="preserve">и воспитания обучающихся в малокомплектной</w:t>
      </w:r>
    </w:p>
    <w:p>
      <w:pPr>
        <w:pStyle w:val="2"/>
        <w:jc w:val="center"/>
      </w:pPr>
      <w:r>
        <w:rPr>
          <w:sz w:val="20"/>
        </w:rPr>
        <w:t xml:space="preserve">общеобразовательной организации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Физкультурно-спортивная работа в малокомплектной общеобразовательной организации должна быть представлена преемственно в рамках образовательной деятельности (в том числе внеурочной), а также дополнительного образования, проведения спортивно-массовых мероприятий и практико-ориентированной спортивной деятельности: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Реализация предмета "Физическая культура", а также модулей по видам спорта: "Самбо", "Гандбол", "Дзюдо", "Тэг-регби", "Плавание", "Футбол", "Футбол для всех", "Спортивная борьба", "Флорбол", "Фитнес-аэробика", "Легкая атлетика", "Подвижные шахматы", "Шахматы в школе", "Бадминтон", "Триатлон", "Хоккей", "Гимнастика", "Лапта" (включенных в Реестр примерных основных общеобразовательных программ Министерства просвещения Российской Федерации по состоянию на 30 декабря 2022 г., далее - модули по видам спорта) позволяют привлечь обучающихся к систематическим занятиям физической культурой и спортом, а также сформировать знания о видах спорта (перечень модулей по видам спорта ежегодно будет увеличиваться).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Проведение физкультурно-оздоровительных мероприятий в рамках внеурочной деятельности является наиболее эффективным направлением в создании условий для формирования у обучающихся навыков здорового образа жизни, которые направлены на проведение конкурсных мероприятий, Дней спорта, Дней здоровья, спортивных праздников, приуроченные к знаменательным датам, общественно значимым спортивным событиям.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Внеурочная деятельность направлена также на достижение планируемых результатов по предмету "Физическая культура" и модулей по видам спорта при освоении программ начального, основного и среднего общего образования с учетом выбора участниками образовательных отношений учебных курсов из перечня, предлагаемого общеобразовательной организацией.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Наиболее популярными и распространенными формами физкультурно-спортивной работы в общеобразовательной организации является ШСК, которые направлены на вовлечение в систематические занятия физической культурой и спортом, реализации дополнительных общеразвивающих программ физкультурно-спортивной направленности, а также модулей по видам спорта, в том числе обеспечение готовности к выполнению норм и требований Всероссийского физкультурно-спортивного комплекса "Готов к труду и обороне" (далее - Комплекс ГТО).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Руководить ШСК может учитель физической культуры или другие члены педагогического коллектива, имеющие соответствующее образование. Освоение образовательных программ в блоке дополнительного образования позволяет обучающимся значительно повысить интерес к физической культуре и спорту.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Эффективной формой организации физкультурно-оздоровительной работы в малокомплектной общеобразовательной организации являются спортивно-массовые мероприятия, которые предусматривают объединение детей разного возраста в команды.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Небольшой классный коллектив одного возраста, может не позволить проводить подвижные игры и эстафеты, а отсутствие параллелей классов и затрудняет организацию внутришкольных соревнований, комплектование команд для участия в районных стартах и мероприятиях. Это обусловливает необходимость объединения нескольких классов, создание разновозрастных групп при проведении физкультурно-оздоровительных и спортивных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Организаторам внутришкольных соревнований необходимо помнить, что участию в спортивных соревнованиях любого обучающегося должна предшествовать спортивная подготовка. Только в этом случае соревнования будут для него полезными.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Спортивные мероприятия в общеобразовательной организации проводятся в течение года. Основная их цель - помочь каждому ребенку проявить себя в любимом виде спорта, ощутить себя членом команды, разделить с товарищем ответственность за ее победу, показать свои лучшие качества.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0"/>
                <w:color w:val="392c69"/>
              </w:rPr>
              <w:t xml:space="preserve">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260" w:line-rule="auto"/>
        <w:ind w:firstLine="540"/>
        <w:jc w:val="both"/>
      </w:pPr>
      <w:r>
        <w:rPr>
          <w:sz w:val="20"/>
        </w:rPr>
        <w:t xml:space="preserve">4. Комплексный подход к организации работы ШСК в малокомплектной общеобразовательной организации развивает интерес у обучающихся к многообразию профессий в области физической культуры и спорта, что позволяет обучающимся осознанно выбрать в будущем спортивные профессии: учитель физической культуры, тренер-преподаватель, фитнес-тренер, спортивный психолог, судья (арбитр), спортивный юрист, журналист, врач.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ШСК могут быть использованы такие формы деятельности, как тематические мероприятия, направленные на освоение способов проведения самостоятельных занятий по физической культуре и спорту, овладение современными оздоровительными системами физического воспитания, подготовку к выполнению нормативов Комплекса ГТО, изучению правил проведения спортивных соревнований, воспитание ценностей олимпийского движения, посвященные спортивным достижениям советских и российских спортсменов.</w:t>
      </w:r>
    </w:p>
    <w:p>
      <w:pPr>
        <w:pStyle w:val="0"/>
        <w:jc w:val="both"/>
      </w:pPr>
      <w:r>
        <w:rPr>
          <w:sz w:val="20"/>
        </w:rPr>
      </w:r>
    </w:p>
    <w:bookmarkStart w:id="108" w:name="P108"/>
    <w:bookmarkEnd w:id="108"/>
    <w:p>
      <w:pPr>
        <w:pStyle w:val="2"/>
        <w:outlineLvl w:val="1"/>
        <w:ind w:firstLine="540"/>
        <w:jc w:val="both"/>
      </w:pPr>
      <w:r>
        <w:rPr>
          <w:sz w:val="20"/>
        </w:rPr>
        <w:t xml:space="preserve">4. Виды спорта, которые возможно развивать в малокомплектных общеобразовательных организациях с малым контингентом обучающихся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общеобразовательной организации с численностью обучающихся менее 20 человек, а также с численностью обучающихся 21 - 50 человек рекомендуется организовать секционную работу с учетом развития индивидуальных видов спорта таких как: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бадминтон;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настольный теннис;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дартс;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стрельба из лука;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легкая атлетика;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городошный спорт;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гиревой спорт;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армрестлинг;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шашки;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шахматы;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лапта.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лыжные гонки;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дзюдо;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самбо;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художественная гимнастика;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спортивное ориентирование.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25" w:tooltip="Федеральный закон от 29.12.2012 N 273-ФЗ (ред. от 04.08.2023) &quot;Об образовании в Российской Федерации&quot; (с изм. и доп., вступ. в силу с 01.09.2023) {КонсультантПлюс}">
        <w:r>
          <w:rPr>
            <w:sz w:val="20"/>
            <w:color w:val="0000ff"/>
          </w:rPr>
          <w:t xml:space="preserve">ч. 5 Ст. 12</w:t>
        </w:r>
      </w:hyperlink>
      <w:r>
        <w:rPr>
          <w:sz w:val="20"/>
        </w:rPr>
        <w:t xml:space="preserve"> Федерального закона от 29.12.2012 N 273-ФЗ "Об образовании в Российской Федерации", разработка дополнительных общеобразовательных программ осуществляется образовательной организацией самостоятельно на основании локального нормативного акта, с учетом характерных для нее параметров, критериев, оценочных материалов и диагностики, соответствующих планируемым результатам освоения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Необходимые материалы для разработки дополнительных общеобразовательных программ: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Методические рекомендации по проектированию дополнительных общеразвивающих программ нового поколения (включая разноуровневые программы) в области физической культуры и спорта https://clck.ru/33ZXHM;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Примерные дополнительные образовательные программы спортивной подготовки по видам спорта https://fcpsr.ru/cat/1/37/240?page=0;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Навигатор дополнительного образования детей </w:t>
      </w:r>
      <w:r>
        <w:rPr>
          <w:sz w:val="20"/>
        </w:rPr>
        <w:t xml:space="preserve">http://dop.edu.ru/home</w:t>
      </w:r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Рекомендуется проведение занятий по общей физической подготовке и развивать наиболее популярные в субъекте Российской Федерации национальные виды спорта (в Приложении ссылки на модули и общеразвивающие дополнительные программы).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Отсутствие спортивного зала возможно компенсировать наличием спортивной пришкольной площадки или специально оборудованного места для занятий физической культурой и спортом.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4.1. Краткая характеристика видов спорта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Бадминтон - спортивная игра с воланом и ракеткой, в которой принимают участие по одному или два игрока с каждой стороны. Занятия бадминтоном позволяют разносторонне воздействовать на организм человека, развивают силу, выносливость, координацию движения, улучшают подвижность в суставах, способствуют приобретению широкого круга двигательных навыков, воспитывают волевые качества.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Бадминтон развивает точность зрительного восприятия, быстроту движений и пространственное представление о своем теле на площадке.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Настольный теннис - индивидуальная спортивная игра, в процессе которой соревнуются два спортсмена или две пары спортсменов. Настольный теннис развивает волю, реакцию, выносливость, умение мыслить. Важнейшими качествами для спортсменов в настольном теннисе являются реакция, координация, чувство мяча.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Дартс - спортивная игра, в которой участники метают дротики в определенную мишень, разделенную на секторы. Игра в дартс развивает координацию движений, укрепляет мышцы спины, улучшает зрение и развивает память.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Стрельба из лука - вид спорта, в котором производится стрельба из лука стрелами на точность или дальность. Победителем является спортсмен или команда, которая наберет больше очков. Спортсмены-лучники стреляют по специальным мишеням, которые крепятся на щитах. Стрельба ведется по стандартным бумажным мишеням, которые состоят из концентрических кругов разного цвета. Стандартными дистанциями по стрельбе из лука в помещении являются дистанции - 18, 30 и 50 метров до мишени, а на открытом воздухе начинаются с 30 метров. Лучный спорт - отличный способ воспитать в себе спокойствие и силу духа, укрепить свой мышечный корсет, развить глазомер.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Легкая атлетика - вид спорта, объединяющий естественные для человека физические упражнения: ходьбу, бег, прыжки, метание. Разнообразие легкоатлетических упражнений и широкие возможности варьировать нагрузку в ходьбе, беге, прыжках, метании позволяют успешно использовать эти упражнения для занимающихся разного возраста и разной степени физической подготовленности. Развиваются основные физические качества: сила, быстрота, выносливость, ловкость, гибкость, координация.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Занятия легкой атлетикой являются общедоступными благодаря разнообразию видов, огромному количеству легко дозируемых упражнений, которыми можно заниматься практически повсеместно и в любое время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Городошный спорт - спортивная игра заключается в поочередном выбивании соперниками или командами соперников за периметр города (площадки с разметкой) фигур, сложенных из городков (деревянных брусков), с помощью городошной биты (метательного спортивного снаряда). Игра в городки развивает глазомер, точность движений, укрепляет мышцы рук и туловища.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Гиревой спорт - силовой вид спорта, является разновидностью тяжелой атлетики. Занятия с гирями можно проводить в группах или индивидуально. Во всех случаях не требуется специализированных залов и оборудования. Гири могут быть в любом спортивном зале или не приспособленном для занятий спортом помещении. Особенностью занятий с гирями является то, что они позволяют достаточно быстро развивать силовые возможности человека, и главным образом, его силовую выносливость. Занятия с гирей совершенствуют практически всю мышечную систему, так как при подъеме этого снаряда принимают участие все группы мышц (ног, туловища, рук).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Армрестлинг - вид борьбы на руках между двумя участниками (вид спортивных единоборств). Во время матча одноименные руки соревнующихся ставятся на твердую, ровную поверхность (как правило, стол), и ладони сцепляются в замок. Задачей соревнующихся является прижатие руки противника к поверхности.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Шахматы, шашки - настольные логические игры со специальными фигурами на 64-клеточной доске для двух соперников. Шахматы и шашки развивают интеллект, память, внимательность, силу воли, являются одним из средств воспитания характера. Для занятий шахматами и шашками не требуются специально оборудованные помещения. Для этого необходимо небольшое помещение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Лапта - двухсторонняя командная игра, которая проводится как на открытом воздухе, так и в закрытых помещениях, на прямоугольной площадке, ограниченной боковыми и лицевыми линиями. Это эффективнейшее средство развития быстроты, силы, выносливости, ловкости, формирования жизненно важных для человека двигательных умений и навыков. Здесь применяется бег, прыжки, метание мяча, ловля, удар битой. У игроков вовлекаются в динамическую работу все группы мышц, увеличивается подвижность в суставах, активизируется обмен веществ, что благоприятно сказывается на физическом и эмоциональном состоянии обучающихся.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Лыжные гонки - один из самых доступных и массовых видов физической культуры и спорта. Представляют собой передвижение на скорость по местности на определенные дистанции различными способами. Передвижение на лыжах в условиях равнинной и пересеченной местности с преодолением подъемов и спусков различной крутизны вовлекает в работу большие группы мышц и оказывает положительное воздействие на развитие и укрепление функциональных систем организма и в первую очередь на сердечно-сосудистую, дыхательную и нервную.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Дзюдо - это вид спортивной борьбы, относится к группе сложно-координационных видов спорта, т.к. его основное содержание - взаимодействие противников, задачей которых является выведение из равновесия посредством технических действий в стойке, с последующим преследованием противника в борьбе лежа (партере), целью которого является победа сковывающими узлами удерживающего, удушающего либо болевого характера в соответствии с правилами соревнований.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Занятия дзюдо укрепляют здоровье и развивают физические качества - быстроту, силу, ловкость, выносливость, а также духовные - настойчивость, волю, самообладание, решительность, целеустремленность.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Самбо (самозащита без оружия) - вид спортивного единоборства, а также комплексная система самозащиты. Самбо - не только вид спортивного единоборства и система противодействия противнику без применения оружия, но и система воспитания, способствующая развитию морально-волевых качеств, патриотизма и гражданственности. Занятия самбо формируют твердый характер, стойкость и выносливость, способствуют выработке самодисциплины и развитию качеств, необходимых для достижения жизненных целей.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Художественная гимнастика - вид спорта, заключающийся в выполнении под музыку различных гимнастических и танцевальных упражнений и элементов без предмета, а также с предметом (булавы, мяч, скакалка, обруч, лента).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Художественная гимнастика развивает гибкость, ловкость, выносливость, дисциплинирует человека, совершенствует его тело, учит владеть им красиво и грациозно двигаться, укрепляет чувство уверенности в себе, что очень важно в сегодняшнем мире. Музыкальное сопровождение развивает музыкальный слух, чувство ритма, согласованность движений с музыкой.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Спортивное ориентирование - вид спорта, в котором участники самостоятельно, при помощи карты и компаса, должны пройти заданное число контрольных пунктов, расположенных на местности. Занятия ориентированием содействуют умственному и физическому развитию, укреплению здоровья, помогают познавать и понимать природу. Кроме оздоровительной и спортивной направленности ориентирование имеет большое прикладное значение. Умение ориентироваться - это, жизненно важный навык. При занятиях ориентированием вырабатываются такие необходимые качества, как самостоятельность, решительность, целеустремленность, настойчивость при достижении цели, умение владеть собой, быстрая реакция.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Все перечисленные виды спорта, помогают решать основную задачу физического воспитания: формирование устойчивых мотивов и потребностей обучающихся в бережном отношении к своему здоровью, целостном развитии физических и психических качеств, творческом использовании средств физической культуры в организации здорового образа жизни.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Непосредственное проведение занятий осуществляется учителями физической культуры, педагогами дополнительного образования, тренерами - преподавателями учреждений дополнительного образования детей физкультурно-спортивной направленности и другими специалистами в области физической культуры и спорта.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Важным условием успешности развития школьного спорта является обязательный ежегодный социологический опрос обучающихся для изучения их физкультурно-спортивных интересов и потребностей, результаты которого позволят определить приоритеты в выборе физкультурно-спортивной деятельности. У обучающегося должен быть выбор, каким видом спорта он хочет и может заниматься. Свой интерес и желание заниматься определенным видом спорта обучающийся может развивать в ШСК участвуя в соревнованиях.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5. Спортивное оборудование и инвентарь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Созданные спортивные сооружения и уже имеющиеся спортивные залы общеобразовательных организаций должны быть оснащены соответствующим специальным спортивным оборудованием и инвентарем.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Оснащение спортивных залов и сооружений общеобразовательных организаций спортивным оборудованием и инвентарем позволит создать дополнительные условия по привлечению детей и подростков к систематическим занятиям физической культурой и спортом.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закупке спортивного инвентаря и оборудования общеобразовательным организациям следует руководствоваться </w:t>
      </w:r>
      <w:hyperlink w:history="0" r:id="rId26" w:tooltip="Приказ Минпросвещения России от 23.08.2021 N 590 &quot;Об утверждении перечня средств обучения и воспитания, соответствующих современным условиям обучения, необходимых при оснащении общеобразовательных организаций в целях реализации мероприятий, предусмотренных подпунктом &quot;г&quot; пункта 5 приложения N 3 к государственной программе Российской Федерации &quot;Развитие образования&quot; и подпунктом &quot;б&quot; пункта 8 приложения N 27 к государственной программе Российской Федерации &quot;Развитие образования&quot;, критериев его формирования и  ------------ Утратил силу или отменен {КонсультантПлюс}">
        <w:r>
          <w:rPr>
            <w:sz w:val="20"/>
            <w:color w:val="0000ff"/>
          </w:rPr>
          <w:t xml:space="preserve">приложением N 1</w:t>
        </w:r>
      </w:hyperlink>
      <w:r>
        <w:rPr>
          <w:sz w:val="20"/>
        </w:rPr>
        <w:t xml:space="preserve"> к Приказу Минпросвещения России от 23 августа 2021 г. N 590 "Об утверждении перечня средств обучения и воспитания, соответствующих современным условиям обучения, необходимых при оснащении общеобразовательных организаций в целях реализации мероприятий, предусмотренных подпунктом "г" пункта 5 приложения N 3 к государственной программе Российской Федерации "Развитие образования" и подпунктом "б" пункта 8 приложения N 27 к государственной программе Российской Федерации "Развитие образования", критериев его формирования и требований к функциональному оснащению общеобразовательных организаций, а также определении норматива стоимости оснащения одного места обучающегося указанными средствами обучения и воспитания".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5.1. Примерный перечень спортивного инвентаря и оборудования</w:t>
      </w:r>
    </w:p>
    <w:p>
      <w:pPr>
        <w:pStyle w:val="2"/>
        <w:jc w:val="center"/>
      </w:pPr>
      <w:r>
        <w:rPr>
          <w:sz w:val="20"/>
        </w:rPr>
        <w:t xml:space="preserve">для организации секционный работы с учетом развития</w:t>
      </w:r>
    </w:p>
    <w:p>
      <w:pPr>
        <w:pStyle w:val="2"/>
        <w:jc w:val="center"/>
      </w:pPr>
      <w:r>
        <w:rPr>
          <w:sz w:val="20"/>
        </w:rPr>
        <w:t xml:space="preserve">индивидуальных видов спорта, а также реализации</w:t>
      </w:r>
    </w:p>
    <w:p>
      <w:pPr>
        <w:pStyle w:val="2"/>
        <w:jc w:val="center"/>
      </w:pPr>
      <w:r>
        <w:rPr>
          <w:sz w:val="20"/>
        </w:rPr>
        <w:t xml:space="preserve">дополнительных образовательных программ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5329"/>
        <w:gridCol w:w="2834"/>
      </w:tblGrid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532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Количество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Бадминтон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Волан (приобретается с учетом использования в спортивных залах и на открытых спортивных площадках)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 из 3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Ракетка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пара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Сетка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Стойки для крепления сетки (передвижные)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пара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Городошный спорт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Бита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Городки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Дартс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Дротик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 из 3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Мишень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Настольный теннис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Мяч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 из 6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Ракетка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пара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Стол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Сетка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Шахматы и шашки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Шахматы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Шахматные часы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Шашки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Лапта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Бита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17.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Мяч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Армрестлинг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18.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Стол борцовский (сидя, стоя)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19.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Блочные устройства, амортизаторы резиновые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 шт.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Стрельба из лука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20.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Щит для стрельбы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21.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Лук классический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22.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Стрелы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23.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Колчан для стрел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24.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Напальчник, нагрудник, пуллер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Спортивное ориентирование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25.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Карта-схема кабинета (спортивного зала)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26.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Карта-схема школьного двора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Тяжелая атлетика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27.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Помост тяжелоатлетический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28.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Штанга тяжелоатлетическая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29.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Гантели переменной массы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30.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Гири разные с "шагом" 1 - 2 кг от 8 до 12 кг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Лыжный спорт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31.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Лыжи, палки, ботинки, крепления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Дзюдо, самбо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32.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Татами (ковер) 6 x 6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33.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Чучело борцовское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Художественная гимнастика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34.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Ковер гимнастический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35.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Булавы мяч скакалка обруч лента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36.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Мат гимнастический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37.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Музыкальный центр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Легкая атлетика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38.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Стойки планка для прыжков в высоту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39.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Палочка эстафетная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40.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Рулетка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41.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Секундомер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42.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Барьер легкоатлетический универсальный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 шт.</w:t>
            </w:r>
          </w:p>
        </w:tc>
      </w:tr>
      <w:tr>
        <w:tc>
          <w:tcPr>
            <w:gridSpan w:val="3"/>
            <w:tcW w:w="907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Оборудование и инвентарь универсального назначения</w:t>
            </w:r>
          </w:p>
          <w:p>
            <w:pPr>
              <w:pStyle w:val="0"/>
              <w:jc w:val="center"/>
            </w:pPr>
            <w:r>
              <w:rPr>
                <w:sz w:val="20"/>
              </w:rPr>
              <w:t xml:space="preserve">(для общефизической подготовки и различных видов спорта)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43.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Гантели (от 0,5 до 12 кг)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44.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Гири (от 15 кг и более)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45.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Канат для перетягивания (12 м)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46.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Мяч гимнастический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 шт.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47.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Набор для подвижных игр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48.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Перекладина универсальная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49.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Скакалка гимнастическая (от 180 до 260 см)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50.</w:t>
            </w:r>
          </w:p>
        </w:tc>
        <w:tc>
          <w:tcPr>
            <w:tcW w:w="5329" w:type="dxa"/>
          </w:tcPr>
          <w:p>
            <w:pPr>
              <w:pStyle w:val="0"/>
            </w:pPr>
            <w:r>
              <w:rPr>
                <w:sz w:val="20"/>
              </w:rPr>
              <w:t xml:space="preserve">Штанга тяжелоатлетическая тренировочная с набором "блинов" разного веса</w:t>
            </w:r>
          </w:p>
        </w:tc>
        <w:tc>
          <w:tcPr>
            <w:tcW w:w="2834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комплект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Количество спортивного инвентаря, приведенное в данном перечне, является минимальным и зависит от средней наполняемости группы обучающихся по виду спорта.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5.2. Оснащение спортивным инвентарем и оборудованием</w:t>
      </w:r>
    </w:p>
    <w:p>
      <w:pPr>
        <w:pStyle w:val="2"/>
        <w:jc w:val="center"/>
      </w:pPr>
      <w:r>
        <w:rPr>
          <w:sz w:val="20"/>
        </w:rPr>
        <w:t xml:space="preserve">открытых плоскостных спортивных сооружений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Все открытые плоскостные физкультурно-спортивные сооружения должны быть оснащены соответствующим физкультурно-спортивным оборудованием. При оборудовании плоскостных физкультурно-спортивных сооружений следует руководствоваться </w:t>
      </w:r>
      <w:hyperlink w:history="0" r:id="rId27" w:tooltip="Ссылка на КонсультантПлюс">
        <w:r>
          <w:rPr>
            <w:sz w:val="20"/>
            <w:color w:val="0000ff"/>
          </w:rPr>
          <w:t xml:space="preserve">СП 332.1325800.2017</w:t>
        </w:r>
      </w:hyperlink>
      <w:r>
        <w:rPr>
          <w:sz w:val="20"/>
        </w:rPr>
        <w:t xml:space="preserve">. "Свод правил. Спортивные сооружения. Правила проектирования".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Планирование функционала или функциональных зон спортивных площадок рекомендуется увязывать: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 предпочтениями (выбором)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развитием видов спорта в муниципальном образовании (популярность, возможность обеспечить методическую поддержку, организовать спортивные мероприятия);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экономическими возможностями для реализации проектов по созданию открытой плоскостной инфраструктуры;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требованиями безопасности площадок (технические регламенты, ГОСТ Р, СанПин);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природно-климатическими условиями;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количественным и качественным (возраст, половозрастные характеристики и т.п.) составом различных категорий учащихся и жителей близлежащих домов на конкретной территории;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наличием площадок (с учетом их функционала по различным видам; доступности и обеспеченности площадками всех категорий населения) на прилегающей территории.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Размеры спортивных площадок зависят от: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размеров территории, на которой будет располагаться площадка;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функционального предназначения и состава оборудования;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требований соответствующих нормативных документов по безопасности площадок (зоны безопасности оборудования);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наличия других элементов благоустройства (разделение различных функциональных зон);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расположения подходов к площадке;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пропускной способности площадки.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Спортивные площадки, предназначенные для игр, активного отдыха, занятий физкультурой и спортом детей и взрослых различных возрастов: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для детей младшего и среднего школьного возраста от 7 до 12 лет - детские спортивные площадки с использованием спортивно-развивающего оборудования (совмещающего игровые и физкультурные элементы);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для детей в возрасте от 7 до 12 лет - детские спортивные площадки с физкультурным и спортивным оборудованием;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для детей старше 12 лет - спортивные площадки;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для здоровых детей и детей с ограниченными возможностями здоровья в возрасте от 7 до 12 лет для совместных игр и занятий физкультурой - детские спортивно-развивающие площадки универсального назначения;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для здоровых детей и детей с ограниченными возможностями здоровья от 7 до 12 лет для совместных занятий физкультурой и спортом - детские спортивные площадки универсального назначения;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для здоровых детей и детей с ограниченными возможностями здоровья старше 12 лет для совместных занятий физкультурой и спортом - спортивные площадки универсального назначения.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Площадки могут быть организованы в виде отдельных площадок для различных возрастных групп, или как комплексные игровые и спортивные площадки с зонированием по возрастным интересам. Для детей и подростков (12 - 16 лет) рекомендуется организация спортивных комплексов (спортивно-развивающие комплексы на основе канатных систем, микро-скалодромы и т.п.), спортивные площадки для игровых видов спорта, спортивных площадок Комплекса ГТО и оборудование специальных мест для катания на самокатах, роликовых досках и коньках (от 7 лет и старше).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</w:t>
      </w:r>
      <w:hyperlink w:history="0" w:anchor="P108" w:tooltip="4. Виды спорта, которые возможно развивать в малокомплектных общеобразовательных организациях с малым контингентом обучающихся">
        <w:r>
          <w:rPr>
            <w:sz w:val="20"/>
            <w:color w:val="0000ff"/>
          </w:rPr>
          <w:t xml:space="preserve">разделу 4</w:t>
        </w:r>
      </w:hyperlink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ССЫЛКИ</w:t>
      </w:r>
    </w:p>
    <w:p>
      <w:pPr>
        <w:pStyle w:val="2"/>
        <w:jc w:val="center"/>
      </w:pPr>
      <w:r>
        <w:rPr>
          <w:sz w:val="20"/>
        </w:rPr>
        <w:t xml:space="preserve">НА МОДУЛЬ УЧЕБНОГО ПРЕДМЕТА ФИЗИЧЕСКАЯ КУЛЬТУРА ПО ВИДАМ</w:t>
      </w:r>
    </w:p>
    <w:p>
      <w:pPr>
        <w:pStyle w:val="2"/>
        <w:jc w:val="center"/>
      </w:pPr>
      <w:r>
        <w:rPr>
          <w:sz w:val="20"/>
        </w:rPr>
        <w:t xml:space="preserve">СПОРТА И ДОПОЛНИТЕЛЬНЫЕ ОБЩЕОБРАЗОВАТЕЛЬНЫЕ ПРОГРАММЫ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"/>
        <w:gridCol w:w="3741"/>
        <w:gridCol w:w="4875"/>
      </w:tblGrid>
      <w:tr>
        <w:tblPrEx>
          <w:tblBorders>
            <w:insideH w:val="nil"/>
          </w:tblBorders>
        </w:tblPrEx>
        <w:tc>
          <w:tcPr>
            <w:tcW w:w="453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3741" w:type="dxa"/>
            <w:tcBorders>
              <w:bottom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Примерные рабочие программы учебного предмета "Физическая культура" включены в реестр примерных основных общеобразовательных программ Министерства просвещения Российской Федерации//Ссылка</w:t>
            </w:r>
          </w:p>
        </w:tc>
        <w:tc>
          <w:tcPr>
            <w:tcW w:w="4875" w:type="dxa"/>
            <w:tcBorders>
              <w:bottom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Дополнительная общеобразовательная общеразвивающая программа физкультурно-спортивной направленности//Ссылка</w:t>
            </w:r>
          </w:p>
        </w:tc>
      </w:tr>
      <w:tr>
        <w:tblPrEx>
          <w:tblBorders>
            <w:insideH w:val="nil"/>
          </w:tblBorders>
        </w:tblPrEx>
        <w:tc>
          <w:tcPr>
            <w:vMerge w:val="continue"/>
          </w:tcPr>
          <w:p/>
        </w:tc>
        <w:tc>
          <w:tcPr>
            <w:tcBorders>
              <w:bottom w:val="nil"/>
            </w:tcBorders>
            <w:vMerge w:val="continue"/>
          </w:tcPr>
          <w:p/>
        </w:tc>
        <w:tc>
          <w:tcPr>
            <w:tcW w:w="4875" w:type="dxa"/>
            <w:tcBorders>
              <w:top w:val="nil"/>
            </w:tcBorders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https://clck.ru/32gN3c</w:t>
            </w:r>
          </w:p>
        </w:tc>
      </w:tr>
      <w:tr>
        <w:tc>
          <w:tcPr>
            <w:vMerge w:val="continue"/>
          </w:tcPr>
          <w:p/>
        </w:tc>
        <w:tc>
          <w:tcPr>
            <w:tcW w:w="3741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https://clck.ru/33YVmj</w:t>
            </w:r>
          </w:p>
        </w:tc>
        <w:tc>
          <w:tcPr>
            <w:tcBorders>
              <w:top w:val="nil"/>
            </w:tcBorders>
            <w:vMerge w:val="continue"/>
          </w:tcPr>
          <w:p/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Бадминтон https://clck.ru/33YVwn</w:t>
            </w:r>
          </w:p>
        </w:tc>
        <w:tc>
          <w:tcPr>
            <w:tcW w:w="4875" w:type="dxa"/>
          </w:tcPr>
          <w:p>
            <w:pPr>
              <w:pStyle w:val="0"/>
            </w:pPr>
            <w:r>
              <w:rPr>
                <w:sz w:val="20"/>
              </w:rPr>
              <w:t xml:space="preserve">базовый уровень сложности https://clck.ru/33YVze</w:t>
            </w:r>
          </w:p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Настольный теннис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tcW w:w="4875" w:type="dxa"/>
          </w:tcPr>
          <w:p>
            <w:pPr>
              <w:pStyle w:val="0"/>
            </w:pPr>
            <w:r>
              <w:rPr>
                <w:sz w:val="20"/>
              </w:rPr>
              <w:t xml:space="preserve">базовый уровень https://clck.ru/33YW4p</w:t>
            </w:r>
          </w:p>
          <w:p>
            <w:pPr>
              <w:pStyle w:val="0"/>
            </w:pPr>
            <w:r>
              <w:rPr>
                <w:sz w:val="20"/>
              </w:rPr>
              <w:t xml:space="preserve">Модульная программа по физической культуре для 1 - 4 классов общеобразовательных организаций на основе мини-настольного тенниса https://clck.ru/33YW7D</w:t>
            </w:r>
          </w:p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Легкая атлетика https://clck.ru/33YW8X</w:t>
            </w:r>
          </w:p>
        </w:tc>
        <w:tc>
          <w:tcPr>
            <w:tcW w:w="4875" w:type="dxa"/>
          </w:tcPr>
          <w:p>
            <w:pPr>
              <w:pStyle w:val="0"/>
            </w:pPr>
            <w:r>
              <w:rPr>
                <w:sz w:val="20"/>
              </w:rPr>
              <w:t xml:space="preserve">базовый уровень https://clck.ru/33YW9f</w:t>
            </w:r>
          </w:p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Лапта https://clck.ru/33YWDr</w:t>
            </w:r>
          </w:p>
        </w:tc>
        <w:tc>
          <w:tcPr>
            <w:tcW w:w="4875" w:type="dxa"/>
          </w:tcPr>
          <w:p>
            <w:pPr>
              <w:pStyle w:val="0"/>
            </w:pPr>
            <w:r>
              <w:rPr>
                <w:sz w:val="20"/>
              </w:rPr>
              <w:t xml:space="preserve">базовый уровень https://clck.ru/33YWSP</w:t>
            </w:r>
          </w:p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Городошный спорт</w:t>
            </w:r>
          </w:p>
        </w:tc>
        <w:tc>
          <w:tcPr>
            <w:tcW w:w="4875" w:type="dxa"/>
          </w:tcPr>
          <w:p>
            <w:pPr>
              <w:pStyle w:val="0"/>
            </w:pPr>
            <w:r>
              <w:rPr>
                <w:sz w:val="20"/>
              </w:rPr>
              <w:t xml:space="preserve">В разработке</w:t>
            </w:r>
          </w:p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Лыжные гонки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tcW w:w="4875" w:type="dxa"/>
          </w:tcPr>
          <w:p>
            <w:pPr>
              <w:pStyle w:val="0"/>
            </w:pPr>
            <w:r>
              <w:rPr>
                <w:sz w:val="20"/>
              </w:rPr>
              <w:t xml:space="preserve">базовый уровень https://clck.ru/33YWTY</w:t>
            </w:r>
          </w:p>
          <w:p>
            <w:pPr>
              <w:pStyle w:val="0"/>
            </w:pPr>
            <w:r>
              <w:rPr>
                <w:sz w:val="20"/>
              </w:rPr>
              <w:t xml:space="preserve">Дополнительная предпрофессиональная программа/базовый уровень https://clck.ru/33YWUM</w:t>
            </w:r>
          </w:p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Дзюдо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tcW w:w="4875" w:type="dxa"/>
          </w:tcPr>
          <w:p>
            <w:pPr>
              <w:pStyle w:val="0"/>
            </w:pPr>
            <w:r>
              <w:rPr>
                <w:sz w:val="20"/>
              </w:rPr>
              <w:t xml:space="preserve">Программа по ФК для общеобразовательных организаций на основе дзюдо https://clck.ru/33YWVn</w:t>
            </w:r>
          </w:p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Самбо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tcW w:w="4875" w:type="dxa"/>
          </w:tcPr>
          <w:p>
            <w:pPr>
              <w:pStyle w:val="0"/>
            </w:pPr>
            <w:r>
              <w:rPr>
                <w:sz w:val="20"/>
              </w:rPr>
              <w:t xml:space="preserve">Учебная программа https://clck.ru/33YWWm</w:t>
            </w:r>
          </w:p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Шахматы https://clck.ru/33YWBd</w:t>
            </w:r>
          </w:p>
        </w:tc>
        <w:tc>
          <w:tcPr>
            <w:tcW w:w="4875" w:type="dxa"/>
            <w:vMerge w:val="restart"/>
          </w:tcPr>
          <w:p>
            <w:pPr>
              <w:pStyle w:val="0"/>
              <w:ind w:left="1132"/>
            </w:pPr>
            <w:r>
              <w:rPr>
                <w:sz w:val="20"/>
              </w:rPr>
              <w:t xml:space="preserve">https://clck.ru/33ZXHM</w:t>
            </w:r>
          </w:p>
          <w:p>
            <w:pPr>
              <w:pStyle w:val="0"/>
              <w:ind w:left="1132"/>
            </w:pPr>
            <w:r>
              <w:rPr>
                <w:sz w:val="20"/>
              </w:rPr>
              <w:t xml:space="preserve">https://fcpsr.ru/cat/1/37/240?page=0</w:t>
            </w:r>
          </w:p>
          <w:p>
            <w:pPr>
              <w:pStyle w:val="0"/>
              <w:ind w:left="1132"/>
            </w:pPr>
            <w:r>
              <w:rPr>
                <w:sz w:val="20"/>
              </w:rPr>
              <w:t xml:space="preserve">http://dop.edu.ru/home</w:t>
            </w:r>
          </w:p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Дартс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vMerge w:val="continue"/>
          </w:tcPr>
          <w:p/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Стрельба из лука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vMerge w:val="continue"/>
          </w:tcPr>
          <w:p/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12.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Гиревой спорт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vMerge w:val="continue"/>
          </w:tcPr>
          <w:p/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13.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Армрестлинг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vMerge w:val="continue"/>
          </w:tcPr>
          <w:p/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14.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Шашки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vMerge w:val="continue"/>
          </w:tcPr>
          <w:p/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15.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Художественная гимнастика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vMerge w:val="continue"/>
          </w:tcPr>
          <w:p/>
        </w:tc>
      </w:tr>
      <w:tr>
        <w:tc>
          <w:tcPr>
            <w:tcW w:w="45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16.</w:t>
            </w:r>
          </w:p>
        </w:tc>
        <w:tc>
          <w:tcPr>
            <w:tcW w:w="3741" w:type="dxa"/>
          </w:tcPr>
          <w:p>
            <w:pPr>
              <w:pStyle w:val="0"/>
            </w:pPr>
            <w:r>
              <w:rPr>
                <w:sz w:val="20"/>
              </w:rPr>
              <w:t xml:space="preserve">Спортивное ориентирование</w:t>
            </w:r>
          </w:p>
          <w:p>
            <w:pPr>
              <w:pStyle w:val="0"/>
              <w:jc w:val="right"/>
            </w:pPr>
            <w:r>
              <w:rPr>
                <w:sz w:val="20"/>
              </w:rPr>
              <w:t xml:space="preserve">модуль не разработан</w:t>
            </w:r>
          </w:p>
        </w:tc>
        <w:tc>
          <w:tcPr>
            <w:vMerge w:val="continue"/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13.03.2023 N ДГ-392/06</w:t>
            <w:br/>
            <w:t>"О методических рекомендациях"</w:t>
            <w:br/>
            <w:t>(вместе с "Методическими рекомен...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12.09.2023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C3BB9F7D8E3BCBA18E525D28A18AE8D5A70C4D53AF82251D18F1B0320FF4F295B12A0FEFEE67AECC561999D4DBA9AE316A09F3612565D1A6D7O2J" TargetMode = "External"/>
	<Relationship Id="rId8" Type="http://schemas.openxmlformats.org/officeDocument/2006/relationships/hyperlink" Target="consultantplus://offline/ref=C3BB9F7D8E3BCBA18E524333B48AE8D5A00A4552AC80251D18F1B0320FF4F295B12A0FECEB6EA599055698889EFEBD306109F16839D6O4J" TargetMode = "External"/>
	<Relationship Id="rId9" Type="http://schemas.openxmlformats.org/officeDocument/2006/relationships/hyperlink" Target="consultantplus://offline/ref=C3BB9F7D8E3BCBA18E524333B48AE8D5A00C4252A98B251D18F1B0320FF4F295B12A0FE9E960A599055698889EFEBD306109F16839D6O4J" TargetMode = "External"/>
	<Relationship Id="rId10" Type="http://schemas.openxmlformats.org/officeDocument/2006/relationships/hyperlink" Target="consultantplus://offline/ref=C3BB9F7D8E3BCBA18E525D28A18AE8D5A70C4D53AF82251D18F1B0320FF4F295B12A0FEFEE67AECC561999D4DBA9AE316A09F3612565D1A6D7O2J" TargetMode = "External"/>
	<Relationship Id="rId11" Type="http://schemas.openxmlformats.org/officeDocument/2006/relationships/hyperlink" Target="consultantplus://offline/ref=C3BB9F7D8E3BCBA18E524333B48AE8D5A00B4353AA83251D18F1B0320FF4F295B12A0FEFEE67ACCD5C1999D4DBA9AE316A09F3612565D1A6D7O2J" TargetMode = "External"/>
	<Relationship Id="rId12" Type="http://schemas.openxmlformats.org/officeDocument/2006/relationships/hyperlink" Target="consultantplus://offline/ref=C3BB9F7D8E3BCBA18E524333B48AE8D5A00B4255A083251D18F1B0320FF4F295B12A0FEFEE67AEC5501999D4DBA9AE316A09F3612565D1A6D7O2J" TargetMode = "External"/>
	<Relationship Id="rId13" Type="http://schemas.openxmlformats.org/officeDocument/2006/relationships/hyperlink" Target="consultantplus://offline/ref=C3BB9F7D8E3BCBA18E524333B48AE8D5A00B4255A083251D18F1B0320FF4F295B12A0FEFEE67AECC501999D4DBA9AE316A09F3612565D1A6D7O2J" TargetMode = "External"/>
	<Relationship Id="rId14" Type="http://schemas.openxmlformats.org/officeDocument/2006/relationships/hyperlink" Target="consultantplus://offline/ref=C3BB9F7D8E3BCBA18E524333B48AE8D5A70A4457A186251D18F1B0320FF4F295B12A0FEFEE67AECC551999D4DBA9AE316A09F3612565D1A6D7O2J" TargetMode = "External"/>
	<Relationship Id="rId15" Type="http://schemas.openxmlformats.org/officeDocument/2006/relationships/hyperlink" Target="consultantplus://offline/ref=C3BB9F7D8E3BCBA18E524333B48AE8D5A7064C51AD84251D18F1B0320FF4F295A32A57E3EF65B0CD5D0CCF859DDFOFJ" TargetMode = "External"/>
	<Relationship Id="rId16" Type="http://schemas.openxmlformats.org/officeDocument/2006/relationships/hyperlink" Target="consultantplus://offline/ref=C3BB9F7D8E3BCBA18E525431A68AE8D5AC0E4655AE8B251D18F1B0320FF4F295A32A57E3EF65B0CD5D0CCF859DDFOFJ" TargetMode = "External"/>
	<Relationship Id="rId17" Type="http://schemas.openxmlformats.org/officeDocument/2006/relationships/hyperlink" Target="consultantplus://offline/ref=C3BB9F7D8E3BCBA18E524333B48AE8D5A70A4457A186251D18F1B0320FF4F295B12A0FEFEE67AECC571999D4DBA9AE316A09F3612565D1A6D7O2J" TargetMode = "External"/>
	<Relationship Id="rId18" Type="http://schemas.openxmlformats.org/officeDocument/2006/relationships/hyperlink" Target="consultantplus://offline/ref=C3BB9F7D8E3BCBA18E524333B48AE8D5A7064C51AD84251D18F1B0320FF4F295A32A57E3EF65B0CD5D0CCF859DDFOFJ" TargetMode = "External"/>
	<Relationship Id="rId19" Type="http://schemas.openxmlformats.org/officeDocument/2006/relationships/hyperlink" Target="consultantplus://offline/ref=C3BB9F7D8E3BCBA18E524333B48AE8D5A00C4252A98B251D18F1B0320FF4F295B12A0FE9EC6FA599055698889EFEBD306109F16839D6O4J" TargetMode = "External"/>
	<Relationship Id="rId20" Type="http://schemas.openxmlformats.org/officeDocument/2006/relationships/hyperlink" Target="consultantplus://offline/ref=C3BB9F7D8E3BCBA18E524333B48AE8D5A00C4252A98B251D18F1B0320FF4F295B12A0FE9EC63A599055698889EFEBD306109F16839D6O4J" TargetMode = "External"/>
	<Relationship Id="rId21" Type="http://schemas.openxmlformats.org/officeDocument/2006/relationships/hyperlink" Target="consultantplus://offline/ref=C3BB9F7D8E3BCBA18E524333B48AE8D5A00C4252A98B251D18F1B0320FF4F295A32A57E3EF65B0CD5D0CCF859DDFOFJ" TargetMode = "External"/>
	<Relationship Id="rId22" Type="http://schemas.openxmlformats.org/officeDocument/2006/relationships/hyperlink" Target="consultantplus://offline/ref=C3BB9F7D8E3BCBA18E525D28A18AE8D5A60E4457A880251D18F1B0320FF4F295B12A0FEFEE67ACC45D1999D4DBA9AE316A09F3612565D1A6D7O2J" TargetMode = "External"/>
	<Relationship Id="rId23" Type="http://schemas.openxmlformats.org/officeDocument/2006/relationships/hyperlink" Target="consultantplus://offline/ref=C3BB9F7D8E3BCBA18E524333B48AE8D5A7084453A086251D18F1B0320FF4F295B12A0FEFEE67AEC9531999D4DBA9AE316A09F3612565D1A6D7O2J" TargetMode = "External"/>
	<Relationship Id="rId24" Type="http://schemas.openxmlformats.org/officeDocument/2006/relationships/hyperlink" Target="consultantplus://offline/ref=C3BB9F7D8E3BCBA18E524333B48AE8D5A70A4457A186251D18F1B0320FF4F295A32A57E3EF65B0CD5D0CCF859DDFOFJ" TargetMode = "External"/>
	<Relationship Id="rId25" Type="http://schemas.openxmlformats.org/officeDocument/2006/relationships/hyperlink" Target="consultantplus://offline/ref=C3BB9F7D8E3BCBA18E524333B48AE8D5A00C4252A98B251D18F1B0320FF4F295B12A0FEFEE67ACCF521999D4DBA9AE316A09F3612565D1A6D7O2J" TargetMode = "External"/>
	<Relationship Id="rId26" Type="http://schemas.openxmlformats.org/officeDocument/2006/relationships/hyperlink" Target="consultantplus://offline/ref=C3BB9F7D8E3BCBA18E524333B48AE8D5A7064C54A083251D18F1B0320FF4F295B12A0FEFEE67AECC511999D4DBA9AE316A09F3612565D1A6D7O2J" TargetMode = "External"/>
	<Relationship Id="rId27" Type="http://schemas.openxmlformats.org/officeDocument/2006/relationships/hyperlink" Target="consultantplus://offline/ref=C3BB9F7D8E3BCBA18E52423DA48AE8D5A70F4455A189781710A8BC3008FBAD90B63B0FEFEC79AEC44A10CD87D9OCJ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Минпросвещения России от 13.03.2023 N ДГ-392/06
"О методических рекомендациях"
(вместе с "Методическими рекомендациями по созданию школьных спортивных клубов в малокомплектных общеобразовательных организациях с малым контингентом обучающихся, с учетом развития индивидуальных видов спорта")</dc:title>
  <dcterms:created xsi:type="dcterms:W3CDTF">2023-09-12T09:14:03Z</dcterms:created>
</cp:coreProperties>
</file>