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Минобрнауки России от 29.12.2017 N ВП-1992/02</w:t>
              <w:br/>
              <w:t xml:space="preserve">"О методических рекомендациях"</w:t>
              <w:br/>
              <w:t xml:space="preserve">(вместе с "Методическими рекомендациями по формированию системы оплаты труда работников общеобразовательных организаций")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11.09.2023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ОБРАЗОВАНИЯ И НАУКИ РОССИЙСКОЙ ФЕДЕРАЦИИ</w:t>
      </w:r>
    </w:p>
    <w:p>
      <w:pPr>
        <w:pStyle w:val="2"/>
        <w:jc w:val="both"/>
      </w:pPr>
      <w:r>
        <w:rPr>
          <w:sz w:val="20"/>
        </w:rPr>
      </w:r>
    </w:p>
    <w:p>
      <w:pPr>
        <w:pStyle w:val="2"/>
        <w:jc w:val="center"/>
      </w:pPr>
      <w:r>
        <w:rPr>
          <w:sz w:val="20"/>
        </w:rPr>
        <w:t xml:space="preserve">ПИСЬМО</w:t>
      </w:r>
    </w:p>
    <w:p>
      <w:pPr>
        <w:pStyle w:val="2"/>
        <w:jc w:val="center"/>
      </w:pPr>
      <w:r>
        <w:rPr>
          <w:sz w:val="20"/>
        </w:rPr>
        <w:t xml:space="preserve">от 29 декабря 2017 г. N ВП-1992/02</w:t>
      </w:r>
    </w:p>
    <w:p>
      <w:pPr>
        <w:pStyle w:val="2"/>
        <w:jc w:val="both"/>
      </w:pPr>
      <w:r>
        <w:rPr>
          <w:sz w:val="20"/>
        </w:rPr>
      </w:r>
    </w:p>
    <w:p>
      <w:pPr>
        <w:pStyle w:val="2"/>
        <w:jc w:val="center"/>
      </w:pPr>
      <w:r>
        <w:rPr>
          <w:sz w:val="20"/>
        </w:rPr>
        <w:t xml:space="preserve">О МЕТОДИЧЕСКИХ РЕКОМЕНДАЦИЯХ</w:t>
      </w:r>
    </w:p>
    <w:p>
      <w:pPr>
        <w:pStyle w:val="0"/>
        <w:jc w:val="both"/>
      </w:pPr>
      <w:r>
        <w:rPr>
          <w:sz w:val="20"/>
        </w:rPr>
      </w:r>
    </w:p>
    <w:p>
      <w:pPr>
        <w:pStyle w:val="0"/>
        <w:ind w:firstLine="540"/>
        <w:jc w:val="both"/>
      </w:pPr>
      <w:r>
        <w:rPr>
          <w:sz w:val="20"/>
        </w:rPr>
        <w:t xml:space="preserve">В соответствии с пунктом 2 поручения Правительства Российской Федерации от 25 августа 2016 г. N ДМ-П8-5082 Минобрнауки России направляет </w:t>
      </w:r>
      <w:hyperlink w:history="0" w:anchor="P19" w:tooltip="МЕТОДИЧЕСКИЕ РЕКОМЕНДАЦИИ">
        <w:r>
          <w:rPr>
            <w:sz w:val="20"/>
            <w:color w:val="0000ff"/>
          </w:rPr>
          <w:t xml:space="preserve">Методические рекомендации</w:t>
        </w:r>
      </w:hyperlink>
      <w:r>
        <w:rPr>
          <w:sz w:val="20"/>
        </w:rPr>
        <w:t xml:space="preserve"> по формированию системы оплаты труда работников общеобразовательных организаций (далее - Методические рекомендации).</w:t>
      </w:r>
    </w:p>
    <w:p>
      <w:pPr>
        <w:pStyle w:val="0"/>
        <w:spacing w:before="200" w:line-rule="auto"/>
        <w:ind w:firstLine="540"/>
        <w:jc w:val="both"/>
      </w:pPr>
      <w:hyperlink w:history="0" w:anchor="P19" w:tooltip="МЕТОДИЧЕСКИЕ РЕКОМЕНДАЦИИ">
        <w:r>
          <w:rPr>
            <w:sz w:val="20"/>
            <w:color w:val="0000ff"/>
          </w:rPr>
          <w:t xml:space="preserve">Методические рекомендации</w:t>
        </w:r>
      </w:hyperlink>
      <w:r>
        <w:rPr>
          <w:sz w:val="20"/>
        </w:rPr>
        <w:t xml:space="preserve"> разработаны совместно с Общероссийским Профсоюзом работников народного образования и науки Российской Федерации с учетом предложений, направленных субъектами Российской Федерации, а также информационно-аналитических материалов и предложений, представленных Аналитическим центром при Правительстве Российской Федерации, прошли широкое обсуждение с заинтересованными общественными организациями.</w:t>
      </w:r>
    </w:p>
    <w:p>
      <w:pPr>
        <w:pStyle w:val="0"/>
        <w:jc w:val="both"/>
      </w:pPr>
      <w:r>
        <w:rPr>
          <w:sz w:val="20"/>
        </w:rPr>
      </w:r>
    </w:p>
    <w:p>
      <w:pPr>
        <w:pStyle w:val="0"/>
        <w:jc w:val="right"/>
      </w:pPr>
      <w:r>
        <w:rPr>
          <w:sz w:val="20"/>
        </w:rPr>
        <w:t xml:space="preserve">В.В.ПЕРЕВЕРЗЕВА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bookmarkStart w:id="19" w:name="P19"/>
    <w:bookmarkEnd w:id="19"/>
    <w:p>
      <w:pPr>
        <w:pStyle w:val="2"/>
        <w:jc w:val="center"/>
      </w:pPr>
      <w:r>
        <w:rPr>
          <w:sz w:val="20"/>
        </w:rPr>
        <w:t xml:space="preserve">МЕТОДИЧЕСКИЕ РЕКОМЕНДАЦИИ</w:t>
      </w:r>
    </w:p>
    <w:p>
      <w:pPr>
        <w:pStyle w:val="2"/>
        <w:jc w:val="center"/>
      </w:pPr>
      <w:r>
        <w:rPr>
          <w:sz w:val="20"/>
        </w:rPr>
        <w:t xml:space="preserve">ПО ФОРМИРОВАНИЮ СИСТЕМЫ ОПЛАТЫ ТРУДА РАБОТНИКОВ</w:t>
      </w:r>
    </w:p>
    <w:p>
      <w:pPr>
        <w:pStyle w:val="2"/>
        <w:jc w:val="center"/>
      </w:pPr>
      <w:r>
        <w:rPr>
          <w:sz w:val="20"/>
        </w:rPr>
        <w:t xml:space="preserve">ОБЩЕОБРАЗОВАТЕЛЬНЫХ ОРГАНИЗАЦИЙ</w:t>
      </w:r>
    </w:p>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Настоящие методические рекомендации по формированию системы оплаты труда работников общеобразовательных организаций (далее - Методические рекомендации) предусматривают основополагающие принципы, нормы и условия оплаты труда, регламентируемые федеральными законами и иными нормативными правовыми актами Российской Федерации, непосредственно связанные с исчислением заработной платы работников общеобразовательных организаций, замещающих должности, включенные в профессиональные </w:t>
      </w:r>
      <w:hyperlink w:history="0" r:id="rId7"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квалификационные группы</w:t>
        </w:r>
      </w:hyperlink>
      <w:r>
        <w:rPr>
          <w:sz w:val="20"/>
        </w:rPr>
        <w:t xml:space="preserve"> должностей работников образования, утвержденные приказом Минздравсоцразвития России от 5 мая 2008 г. N 216н "Об утверждении профессиональных квалификационных групп должностей работников образования" (далее - приказ Минздравсоцразвития России N 216н).</w:t>
      </w:r>
    </w:p>
    <w:p>
      <w:pPr>
        <w:pStyle w:val="0"/>
        <w:spacing w:before="200" w:line-rule="auto"/>
        <w:ind w:firstLine="540"/>
        <w:jc w:val="both"/>
      </w:pPr>
      <w:r>
        <w:rPr>
          <w:sz w:val="20"/>
        </w:rPr>
        <w:t xml:space="preserve">1.2. Настоящие Методические рекомендации направлены на упорядочение систем оплаты труда работников общеобразовательных организаций, реализующих образовательные программы, предусмотренные </w:t>
      </w:r>
      <w:hyperlink w:history="0" r:id="rId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пунктом 2 части 2</w:t>
        </w:r>
      </w:hyperlink>
      <w:r>
        <w:rPr>
          <w:sz w:val="20"/>
        </w:rPr>
        <w:t xml:space="preserve"> и </w:t>
      </w:r>
      <w:hyperlink w:history="0" r:id="rId9"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пунктом 2 части 4 статьи 23</w:t>
        </w:r>
      </w:hyperlink>
      <w:r>
        <w:rPr>
          <w:sz w:val="20"/>
        </w:rPr>
        <w:t xml:space="preserve"> Федерального закона от 29 декабря 2012 г. N 273-ФЗ "Об образовании в Российской Федерации" (далее - организации), и разработаны в соответствии с положениями:</w:t>
      </w:r>
    </w:p>
    <w:p>
      <w:pPr>
        <w:pStyle w:val="0"/>
        <w:spacing w:before="200" w:line-rule="auto"/>
        <w:ind w:firstLine="540"/>
        <w:jc w:val="both"/>
      </w:pPr>
      <w:r>
        <w:rPr>
          <w:sz w:val="20"/>
        </w:rPr>
        <w:t xml:space="preserve">Трудового </w:t>
      </w:r>
      <w:r>
        <w:rPr>
          <w:sz w:val="20"/>
        </w:rPr>
        <w:t xml:space="preserve">кодекса</w:t>
      </w:r>
      <w:r>
        <w:rPr>
          <w:sz w:val="20"/>
        </w:rPr>
        <w:t xml:space="preserve"> Российской Федерации (далее - Трудовой Кодекс);</w:t>
      </w:r>
    </w:p>
    <w:p>
      <w:pPr>
        <w:pStyle w:val="0"/>
        <w:spacing w:before="200" w:line-rule="auto"/>
        <w:ind w:firstLine="540"/>
        <w:jc w:val="both"/>
      </w:pPr>
      <w:r>
        <w:rPr>
          <w:sz w:val="20"/>
        </w:rPr>
        <w:t xml:space="preserve">Федерального </w:t>
      </w:r>
      <w:hyperlink w:history="0" r:id="rId1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закона</w:t>
        </w:r>
      </w:hyperlink>
      <w:r>
        <w:rPr>
          <w:sz w:val="20"/>
        </w:rPr>
        <w:t xml:space="preserve"> от 29 декабря 2012 г. N 273-ФЗ "Об образовании в Российской Федерации";</w:t>
      </w:r>
    </w:p>
    <w:p>
      <w:pPr>
        <w:pStyle w:val="0"/>
        <w:spacing w:before="200" w:line-rule="auto"/>
        <w:ind w:firstLine="540"/>
        <w:jc w:val="both"/>
      </w:pPr>
      <w:r>
        <w:rPr>
          <w:sz w:val="20"/>
        </w:rPr>
        <w:t xml:space="preserve">Указов Президента Российской Федерации: от 7 мая 2012 г. </w:t>
      </w:r>
      <w:hyperlink w:history="0" r:id="rId11"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 мероприятиях по реализации государственной социальной политики"; от 1 июня 2012 г. </w:t>
      </w:r>
      <w:hyperlink w:history="0" r:id="rId12"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"О национальной стратегии действий в интересах детей на 2012 - 2017 годы" и от 28 декабря 2012 г. </w:t>
      </w:r>
      <w:hyperlink w:history="0" r:id="rId13" w:tooltip="Указ Президента РФ от 28.12.2012 N 1688 (ред. от 14.11.2017) &quot;О некоторых мерах по реализации государственной политики в сфере защиты детей-сирот и детей, оставшихся без попечения родителей&quot; {КонсультантПлюс}">
        <w:r>
          <w:rPr>
            <w:sz w:val="20"/>
            <w:color w:val="0000ff"/>
          </w:rPr>
          <w:t xml:space="preserve">N 1688</w:t>
        </w:r>
      </w:hyperlink>
      <w:r>
        <w:rPr>
          <w:sz w:val="20"/>
        </w:rPr>
        <w:t xml:space="preserve"> "О некоторых мерах по реализации государственной политики в сфере защиты детей-сирот и детей, оставшихся без попечения родителей";</w:t>
      </w:r>
    </w:p>
    <w:p>
      <w:pPr>
        <w:pStyle w:val="0"/>
        <w:spacing w:before="200" w:line-rule="auto"/>
        <w:ind w:firstLine="540"/>
        <w:jc w:val="both"/>
      </w:pPr>
      <w:hyperlink w:history="0" r:id="rId14" w:tooltip="Распоряжение Правительства РФ от 26.11.2012 N 2190-р (ред. от 14.09.2015) &lt;Об утверждении Программы поэтапного совершенствования системы оплаты труда в государственных (муниципальных) учреждениях на 2012 - 2018 годы&gt; {КонсультантПлюс}">
        <w:r>
          <w:rPr>
            <w:sz w:val="20"/>
            <w:color w:val="0000ff"/>
          </w:rPr>
          <w:t xml:space="preserve">программы</w:t>
        </w:r>
      </w:hyperlink>
      <w:r>
        <w:rPr>
          <w:sz w:val="20"/>
        </w:rPr>
        <w:t xml:space="preserve">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w:t>
      </w:r>
    </w:p>
    <w:p>
      <w:pPr>
        <w:pStyle w:val="0"/>
        <w:spacing w:before="200" w:line-rule="auto"/>
        <w:ind w:firstLine="540"/>
        <w:jc w:val="both"/>
      </w:pPr>
      <w:hyperlink w:history="0" r:id="rId15" w:tooltip="Распоряжение Правительства РФ от 30.04.2014 N 722-р &lt;Об утверждении плана мероприятий (&quot;дорожной карты&quot;) &quot;Изменения в отраслях социальной сферы, направленные на повышение эффективности образования и науки&quot;&gt; {КонсультантПлюс}">
        <w:r>
          <w:rPr>
            <w:sz w:val="20"/>
            <w:color w:val="0000ff"/>
          </w:rPr>
          <w:t xml:space="preserve">плана</w:t>
        </w:r>
      </w:hyperlink>
      <w:r>
        <w:rPr>
          <w:sz w:val="20"/>
        </w:rPr>
        <w:t xml:space="preserve"> мероприятий ("дорожной карты") "Изменения в отраслях социальной сферы, направленные на повышение эффективности образования и науки", утвержденного распоряжением Правительства Российской Федерации от 30 апреля 2014 г. N 722-р (далее - Распоряжение Правительства N 722-р);</w:t>
      </w:r>
    </w:p>
    <w:p>
      <w:pPr>
        <w:pStyle w:val="0"/>
        <w:spacing w:before="200" w:line-rule="auto"/>
        <w:ind w:firstLine="540"/>
        <w:jc w:val="both"/>
      </w:pPr>
      <w:hyperlink w:history="0" r:id="rId16" w:tooltip="Постановление Правительства РФ от 08.08.2013 N 678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 Утратил силу или отменен {КонсультантПлюс}">
        <w:r>
          <w:rPr>
            <w:sz w:val="20"/>
            <w:color w:val="0000ff"/>
          </w:rPr>
          <w:t xml:space="preserve">номенклатуры</w:t>
        </w:r>
      </w:hyperlink>
      <w:r>
        <w:rPr>
          <w:sz w:val="20"/>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8 августа 2013 г. N 678 (далее - Номенклатура);</w:t>
      </w:r>
    </w:p>
    <w:p>
      <w:pPr>
        <w:pStyle w:val="0"/>
        <w:spacing w:before="200" w:line-rule="auto"/>
        <w:ind w:firstLine="540"/>
        <w:jc w:val="both"/>
      </w:pPr>
      <w:hyperlink w:history="0" r:id="rId17" w:tooltip="&quot;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18 год&quot; (утв. решением Российской трехсторонней комиссии по регулированию социально-трудовых отношений от 22.12.2017, протокол N 11) {КонсультантПлюс}">
        <w:r>
          <w:rPr>
            <w:sz w:val="20"/>
            <w:color w:val="0000ff"/>
          </w:rPr>
          <w:t xml:space="preserve">Единых рекомендаций</w:t>
        </w:r>
      </w:hyperlink>
      <w:r>
        <w:rPr>
          <w:sz w:val="20"/>
        </w:rPr>
        <w:t xml:space="preserve"> по установлению на федеральном, региональном и местном уровнях систем оплаты труда работников государственных и муниципальных учреждений на 2018 год и последующий период, утверждены решением Российской трехсторонней комиссии по регулированию социально-трудовых отношений от 22 декабря 2017 г. протокол N 11 (далее - Единые рекомендации);</w:t>
      </w:r>
    </w:p>
    <w:p>
      <w:pPr>
        <w:pStyle w:val="0"/>
        <w:spacing w:before="200" w:line-rule="auto"/>
        <w:ind w:firstLine="540"/>
        <w:jc w:val="both"/>
      </w:pPr>
      <w:r>
        <w:rPr>
          <w:sz w:val="20"/>
        </w:rPr>
        <w:t xml:space="preserve">Единого квалификационного </w:t>
      </w:r>
      <w:hyperlink w:history="0" r:id="rId18" w:tooltip="Приказ Минздравсоцразвития РФ от 26.08.2010 N 761н (ред. от 31.05.2011)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аботников образования&quot; (Зарегистрировано в Минюсте РФ 06.10.2010 N 18638) {КонсультантПлюс}">
        <w:r>
          <w:rPr>
            <w:sz w:val="20"/>
            <w:color w:val="0000ff"/>
          </w:rPr>
          <w:t xml:space="preserve">справочника</w:t>
        </w:r>
      </w:hyperlink>
      <w:r>
        <w:rPr>
          <w:sz w:val="20"/>
        </w:rPr>
        <w:t xml:space="preserve"> должностей руководителей, специалистов и служащих, утвержденного приказом Минздравсоцразвития России от 26 августа 2010 г. N 761н (зарегистрировано Минюстом России 6 октября 2010 г., регистрационный N 18638) (далее - квалификационные характеристики);</w:t>
      </w:r>
    </w:p>
    <w:p>
      <w:pPr>
        <w:pStyle w:val="0"/>
        <w:spacing w:before="200" w:line-rule="auto"/>
        <w:ind w:firstLine="540"/>
        <w:jc w:val="both"/>
      </w:pPr>
      <w:hyperlink w:history="0" r:id="rId19" w:tooltip="Приказ Минтруда России от 26.04.2013 N 167н (ред. от 20.02.2014) &quot;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а&quot; {КонсультантПлюс}">
        <w:r>
          <w:rPr>
            <w:sz w:val="20"/>
            <w:color w:val="0000ff"/>
          </w:rPr>
          <w:t xml:space="preserve">рекомендаций</w:t>
        </w:r>
      </w:hyperlink>
      <w:r>
        <w:rPr>
          <w:sz w:val="20"/>
        </w:rP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утвержденных приказом Минтруда России от 26 апреля 2013 г. N 167н в редакции </w:t>
      </w:r>
      <w:hyperlink w:history="0" r:id="rId20" w:tooltip="Приказ Минтруда России от 20.02.2014 N 103н (ред. от 12.05.2022) &quot;О внесении изменений и признании утратившими силу некоторых нормативных правовых актов Министерства труда и социального развития Российской Федерации, Министерства здравоохранения и социального развития Российской Федерации, Министерства труда и социальной защиты Российской Федерации&quot; (Зарегистрировано в Минюсте России 15.05.2014 N 32284) (с изм. и доп., вступ. в силу с 01.09.2023) {КонсультантПлюс}">
        <w:r>
          <w:rPr>
            <w:sz w:val="20"/>
            <w:color w:val="0000ff"/>
          </w:rPr>
          <w:t xml:space="preserve">приказа</w:t>
        </w:r>
      </w:hyperlink>
      <w:r>
        <w:rPr>
          <w:sz w:val="20"/>
        </w:rPr>
        <w:t xml:space="preserve"> Минтруда России от 20 февраля 2014 г. N 103н (зарегистрировано Минюстом России 15 мая 2014 г., регистрационный N 32284);</w:t>
      </w:r>
    </w:p>
    <w:p>
      <w:pPr>
        <w:pStyle w:val="0"/>
        <w:spacing w:before="200" w:line-rule="auto"/>
        <w:ind w:firstLine="540"/>
        <w:jc w:val="both"/>
      </w:pPr>
      <w:hyperlink w:history="0" r:id="rId21"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приказа</w:t>
        </w:r>
      </w:hyperlink>
      <w:r>
        <w:rPr>
          <w:sz w:val="20"/>
        </w:rPr>
        <w:t xml:space="preserve"> Минобрнауки России от 22 декабря 2014 г.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(зарегистрировано Минюстом России 25 февраля 2015 г., регистрационный N 36204) (далее - приказ Минобрнауки России N 1601);</w:t>
      </w:r>
    </w:p>
    <w:p>
      <w:pPr>
        <w:pStyle w:val="0"/>
        <w:spacing w:before="200" w:line-rule="auto"/>
        <w:ind w:firstLine="540"/>
        <w:jc w:val="both"/>
      </w:pPr>
      <w:hyperlink w:history="0" r:id="rId22"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приказа</w:t>
        </w:r>
      </w:hyperlink>
      <w:r>
        <w:rPr>
          <w:sz w:val="20"/>
        </w:rPr>
        <w:t xml:space="preserve"> Минобрнауки России от 11 мая 2016 г. N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(зарегистрировано Минюстом России 1 июня 2016 г., регистрационный N 42388) (далее - приказ Минобрнауки России N 536);</w:t>
      </w:r>
    </w:p>
    <w:p>
      <w:pPr>
        <w:pStyle w:val="0"/>
        <w:spacing w:before="200" w:line-rule="auto"/>
        <w:ind w:firstLine="540"/>
        <w:jc w:val="both"/>
      </w:pPr>
      <w:r>
        <w:rPr>
          <w:sz w:val="20"/>
        </w:rPr>
        <w:t xml:space="preserve">методических </w:t>
      </w:r>
      <w:hyperlink w:history="0" r:id="rId23" w:tooltip="&lt;Письмо&gt; Минобрнауки России от 20.06.2013 N АП-1073/02 &quot;О разработке показателей эффективности&quot; (вместе с &quot;Методическими рекомендациями Минобрнауки Росс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государственных (муниципальных) учреждений в сфере образования, их руководителей и отдельных категорий работников Приложение&quot;, утв. Минобрнауки России 18.06.2013) {КонсультантПлюс}">
        <w:r>
          <w:rPr>
            <w:sz w:val="20"/>
            <w:color w:val="0000ff"/>
          </w:rPr>
          <w:t xml:space="preserve">рекомендаций</w:t>
        </w:r>
      </w:hyperlink>
      <w:r>
        <w:rPr>
          <w:sz w:val="20"/>
        </w:rPr>
        <w:t xml:space="preserve">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государственных (муниципальных) учреждений в сфере образования, их руководителей и отдельных категорий работников (направлены в адрес субъектов Российской Федерации письмом Минобрнауки России от 20 июня 2013 г. N АП-1073/02) (далее - письмо Минобрнауки России о разработке показателей эффективности).</w:t>
      </w:r>
    </w:p>
    <w:p>
      <w:pPr>
        <w:pStyle w:val="0"/>
        <w:spacing w:before="200" w:line-rule="auto"/>
        <w:ind w:firstLine="540"/>
        <w:jc w:val="both"/>
      </w:pPr>
      <w:r>
        <w:rPr>
          <w:sz w:val="20"/>
        </w:rPr>
        <w:t xml:space="preserve">1.3. Система оплаты труда работников организаций (включая размеры окладов (должностных окладов), ставок заработной платы, доплат и надбавок компенсационного характера (в том числе за работу в условиях, отклоняющихся от нормальных), доплат и надбавок стимулирующего характера, систему премирования) устанавливается коллективным договором, локальными нормативными актами в соответствии с трудовым законодательством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Локальные нормативные акты, устанавливающие систему оплаты труда работников организации, принимаются работодателем с учетом мнения представительного органа работников.</w:t>
      </w:r>
    </w:p>
    <w:p>
      <w:pPr>
        <w:pStyle w:val="0"/>
        <w:spacing w:before="200" w:line-rule="auto"/>
        <w:ind w:firstLine="540"/>
        <w:jc w:val="both"/>
      </w:pPr>
      <w:r>
        <w:rPr>
          <w:sz w:val="20"/>
        </w:rPr>
        <w:t xml:space="preserve">Условия оплаты труда, определенные трудовым договором,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 коллективным договором, локальными нормативными актами.</w:t>
      </w:r>
    </w:p>
    <w:p>
      <w:pPr>
        <w:pStyle w:val="0"/>
        <w:spacing w:before="200" w:line-rule="auto"/>
        <w:ind w:firstLine="540"/>
        <w:jc w:val="both"/>
      </w:pPr>
      <w:r>
        <w:rPr>
          <w:sz w:val="20"/>
        </w:rPr>
        <w:t xml:space="preserve">Условия оплаты труда, определенные коллективным договором, локальными нормативными актами,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1.4. Заработная плата работников организации (без учета премий и иных стимулирующих выплат) при изменении (совершенствовании) условий оплаты труда в соответствии с настоящими Методическими рекомендациями не может быть меньше заработной платы (без учета премий и иных стимулирующих выплат), выплачиваемой на момент ее изменения, при условии сохранения объема должностных обязанностей работников и выполнения ими работ той же квалификации.</w:t>
      </w:r>
    </w:p>
    <w:p>
      <w:pPr>
        <w:pStyle w:val="0"/>
        <w:spacing w:before="200" w:line-rule="auto"/>
        <w:ind w:firstLine="540"/>
        <w:jc w:val="both"/>
      </w:pPr>
      <w:r>
        <w:rPr>
          <w:sz w:val="20"/>
        </w:rPr>
        <w:t xml:space="preserve">О предстоящих изменениях условий трудового договора, связанных с изменением системы оплаты труда в организации, работники должны быть уведомлены в письменной форме не позднее, чем за два месяца до их введения в порядке, установленном </w:t>
      </w:r>
      <w:hyperlink w:history="0" r:id="rId24" w:tooltip="&quot;Трудовой кодекс Российской Федерации&quot; от 30.12.2001 N 197-ФЗ (ред. от 04.08.2023) (с изм. и доп., вступ. в силу с 01.09.2023) {КонсультантПлюс}">
        <w:r>
          <w:rPr>
            <w:sz w:val="20"/>
            <w:color w:val="0000ff"/>
          </w:rPr>
          <w:t xml:space="preserve">статьей 74</w:t>
        </w:r>
      </w:hyperlink>
      <w:r>
        <w:rPr>
          <w:sz w:val="20"/>
        </w:rPr>
        <w:t xml:space="preserve"> Трудового Кодекса.</w:t>
      </w:r>
    </w:p>
    <w:p>
      <w:pPr>
        <w:pStyle w:val="0"/>
        <w:spacing w:before="200" w:line-rule="auto"/>
        <w:ind w:firstLine="540"/>
        <w:jc w:val="both"/>
      </w:pPr>
      <w:r>
        <w:rPr>
          <w:sz w:val="20"/>
        </w:rPr>
        <w:t xml:space="preserve">1.5. Месячная заработная плата работника, полностью отработавшего за этот период норму рабочего времени и выполнившего норму труда (трудовые обязанности), не может быть ниже минимального размера оплаты труда, установленного Федеральным </w:t>
      </w:r>
      <w:hyperlink w:history="0" r:id="rId25" w:tooltip="Федеральный закон от 19.06.2000 N 82-ФЗ (ред. от 19.12.2022) &quot;О минимальном размере оплаты труда&quot; {КонсультантПлюс}">
        <w:r>
          <w:rPr>
            <w:sz w:val="20"/>
            <w:color w:val="0000ff"/>
          </w:rPr>
          <w:t xml:space="preserve">законом</w:t>
        </w:r>
      </w:hyperlink>
      <w:r>
        <w:rPr>
          <w:sz w:val="20"/>
        </w:rPr>
        <w:t xml:space="preserve"> от 19 июня 2000 г. N 82-ФЗ "О минимальном размере оплаты труда".</w:t>
      </w:r>
    </w:p>
    <w:p>
      <w:pPr>
        <w:pStyle w:val="0"/>
        <w:spacing w:before="200" w:line-rule="auto"/>
        <w:ind w:firstLine="540"/>
        <w:jc w:val="both"/>
      </w:pPr>
      <w:r>
        <w:rPr>
          <w:sz w:val="20"/>
        </w:rPr>
        <w:t xml:space="preserve">1.6. Обязательства организации по оплате труда работников (размеры окладов (должностных окладов), ставок заработной платы, выплат компенсационного и стимулирующего характера) обеспечиваются как бюджетными ассигнованиями, так и поступлениями от приносящей доход деятельности, безвозмездными поступлениями (если назначение таких поступлений позволяет их использование на эти цели).</w:t>
      </w:r>
    </w:p>
    <w:p>
      <w:pPr>
        <w:pStyle w:val="0"/>
        <w:spacing w:before="200" w:line-rule="auto"/>
        <w:ind w:firstLine="540"/>
        <w:jc w:val="both"/>
      </w:pPr>
      <w:r>
        <w:rPr>
          <w:sz w:val="20"/>
        </w:rPr>
        <w:t xml:space="preserve">Организации - казенные учреждения формируют фонд оплаты труда в пределах лимитов бюджетных обязательств, доведенных в рамках бюджетной сметы по соответствующей статье.</w:t>
      </w:r>
    </w:p>
    <w:p>
      <w:pPr>
        <w:pStyle w:val="0"/>
        <w:spacing w:before="200" w:line-rule="auto"/>
        <w:ind w:firstLine="540"/>
        <w:jc w:val="both"/>
      </w:pPr>
      <w:r>
        <w:rPr>
          <w:sz w:val="20"/>
        </w:rPr>
        <w:t xml:space="preserve">Организации - бюджетные и автономные учреждения формируют фонд оплаты труда в пределах имеющихся средств, в соответствии с утвержденным планом финансово-хозяйственной деятельности.</w:t>
      </w:r>
    </w:p>
    <w:p>
      <w:pPr>
        <w:pStyle w:val="0"/>
        <w:spacing w:before="200" w:line-rule="auto"/>
        <w:ind w:firstLine="540"/>
        <w:jc w:val="both"/>
      </w:pPr>
      <w:r>
        <w:rPr>
          <w:sz w:val="20"/>
        </w:rPr>
        <w:t xml:space="preserve">Средства, выделенные на оплату труда работников за счет средств субсидии на выполнение государственного (муниципального) задания, должны быть направлены на оплату труда работников, обеспечивающих выполнение государственного (муниципального) задания. При определении доли средств субсидии на выполнение государственного (муниципального) задания, которая будет направлена в фонд оплаты труда, бюджетные и автономные учреждения не обязаны обеспечивать соответствие этой доли тому размеру расходов на оплату труда, который был заложен учредителем при расчете размера нормативных затрат по соответствующим методикам. При этом организациям рекомендуется долю фонда оплаты труда, направляемую на оплату труда работников административно-управленческого и вспомогательного персонала, в фонде оплаты труда учреждения определять в объеме не более 40 процентов.</w:t>
      </w:r>
    </w:p>
    <w:p>
      <w:pPr>
        <w:pStyle w:val="0"/>
        <w:jc w:val="both"/>
      </w:pPr>
      <w:r>
        <w:rPr>
          <w:sz w:val="20"/>
        </w:rPr>
      </w:r>
    </w:p>
    <w:p>
      <w:pPr>
        <w:pStyle w:val="2"/>
        <w:outlineLvl w:val="1"/>
        <w:jc w:val="center"/>
      </w:pPr>
      <w:r>
        <w:rPr>
          <w:sz w:val="20"/>
        </w:rPr>
        <w:t xml:space="preserve">II. Определение размеров должностных окладов и размеров</w:t>
      </w:r>
    </w:p>
    <w:p>
      <w:pPr>
        <w:pStyle w:val="2"/>
        <w:jc w:val="center"/>
      </w:pPr>
      <w:r>
        <w:rPr>
          <w:sz w:val="20"/>
        </w:rPr>
        <w:t xml:space="preserve">ставок заработной платы</w:t>
      </w:r>
    </w:p>
    <w:p>
      <w:pPr>
        <w:pStyle w:val="0"/>
        <w:jc w:val="both"/>
      </w:pPr>
      <w:r>
        <w:rPr>
          <w:sz w:val="20"/>
        </w:rPr>
      </w:r>
    </w:p>
    <w:p>
      <w:pPr>
        <w:pStyle w:val="0"/>
        <w:ind w:firstLine="540"/>
        <w:jc w:val="both"/>
      </w:pPr>
      <w:r>
        <w:rPr>
          <w:sz w:val="20"/>
        </w:rPr>
        <w:t xml:space="preserve">2.1. Совершенствование систем оплаты труда педагогических и иных работников организаций осуществляется в целях:</w:t>
      </w:r>
    </w:p>
    <w:p>
      <w:pPr>
        <w:pStyle w:val="0"/>
        <w:spacing w:before="200" w:line-rule="auto"/>
        <w:ind w:firstLine="540"/>
        <w:jc w:val="both"/>
      </w:pPr>
      <w:r>
        <w:rPr>
          <w:sz w:val="20"/>
        </w:rPr>
        <w:t xml:space="preserve">обеспечения престижности и привлекательности педагогической профессии;</w:t>
      </w:r>
    </w:p>
    <w:p>
      <w:pPr>
        <w:pStyle w:val="0"/>
        <w:spacing w:before="200" w:line-rule="auto"/>
        <w:ind w:firstLine="540"/>
        <w:jc w:val="both"/>
      </w:pPr>
      <w:r>
        <w:rPr>
          <w:sz w:val="20"/>
        </w:rPr>
        <w:t xml:space="preserve">обеспечения равной оплаты за труд равной ценности, в том числе при установлении размеров окладов (должностных окладов), ставок заработной платы, выплат компенсационного и стимулирующего характера;</w:t>
      </w:r>
    </w:p>
    <w:p>
      <w:pPr>
        <w:pStyle w:val="0"/>
        <w:spacing w:before="200" w:line-rule="auto"/>
        <w:ind w:firstLine="540"/>
        <w:jc w:val="both"/>
      </w:pPr>
      <w:r>
        <w:rPr>
          <w:sz w:val="20"/>
        </w:rPr>
        <w:t xml:space="preserve">недопущения дискриминации - различий, исключений и предпочтений, не связанных с деловыми качествами и результатами труда работников, а также результатами деятельности организаций.</w:t>
      </w:r>
    </w:p>
    <w:p>
      <w:pPr>
        <w:pStyle w:val="0"/>
        <w:spacing w:before="200" w:line-rule="auto"/>
        <w:ind w:firstLine="540"/>
        <w:jc w:val="both"/>
      </w:pPr>
      <w:r>
        <w:rPr>
          <w:sz w:val="20"/>
        </w:rPr>
        <w:t xml:space="preserve">2.2. Одним из направлений достижения указанных целей при установлении системы оплаты труда является упорядочение структуры заработной платы работников организации, обеспечиваемое путем перераспределения средств, предназначенных на оплату труда (без учета районных коэффициентов и процентных надбавок к заработной плате лиц, работающих в районах Крайнего Севера и приравненных к ним местностях) с тем, чтобы на установление размеров окладов (должностных окладов), ставок заработной платы работников направлялось не менее 70 процентов фонда оплаты труда организации.</w:t>
      </w:r>
    </w:p>
    <w:p>
      <w:pPr>
        <w:pStyle w:val="0"/>
        <w:spacing w:before="200" w:line-rule="auto"/>
        <w:ind w:firstLine="540"/>
        <w:jc w:val="both"/>
      </w:pPr>
      <w:r>
        <w:rPr>
          <w:sz w:val="20"/>
        </w:rPr>
        <w:t xml:space="preserve">2.3. В целях обеспечения гарантий по оплате труда в структуре заработной платы работников организаций согласно </w:t>
      </w:r>
      <w:hyperlink w:history="0" r:id="rId26" w:tooltip="&quot;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18 год&quot; (утв. решением Российской трехсторонней комиссии по регулированию социально-трудовых отношений от 22.12.2017, протокол N 11) {КонсультантПлюс}">
        <w:r>
          <w:rPr>
            <w:sz w:val="20"/>
            <w:color w:val="0000ff"/>
          </w:rPr>
          <w:t xml:space="preserve">разделу VIII</w:t>
        </w:r>
      </w:hyperlink>
      <w:r>
        <w:rPr>
          <w:sz w:val="20"/>
        </w:rPr>
        <w:t xml:space="preserve"> Единых рекомендаций органам государственной власти субъектов Российской Федерации, органам местного самоуправления рекомендуется:</w:t>
      </w:r>
    </w:p>
    <w:p>
      <w:pPr>
        <w:pStyle w:val="0"/>
        <w:spacing w:before="200" w:line-rule="auto"/>
        <w:ind w:firstLine="540"/>
        <w:jc w:val="both"/>
      </w:pPr>
      <w:r>
        <w:rPr>
          <w:sz w:val="20"/>
        </w:rPr>
        <w:t xml:space="preserve">- устанавливать минимальные размеры должностных окладов, минимальные размеры ставок заработной платы работников организаций по квалификационным уровням профессиональных </w:t>
      </w:r>
      <w:hyperlink w:history="0" r:id="rId27"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квалификационных групп</w:t>
        </w:r>
      </w:hyperlink>
      <w:r>
        <w:rPr>
          <w:sz w:val="20"/>
        </w:rPr>
        <w:t xml:space="preserve"> (далее - ПКГ) должностей работников образования, утвержденных приказом Минздравсоцразвития России от 5 мая 2008 г. N 216н;</w:t>
      </w:r>
    </w:p>
    <w:p>
      <w:pPr>
        <w:pStyle w:val="0"/>
        <w:spacing w:before="200" w:line-rule="auto"/>
        <w:ind w:firstLine="540"/>
        <w:jc w:val="both"/>
      </w:pPr>
      <w:r>
        <w:rPr>
          <w:sz w:val="20"/>
        </w:rPr>
        <w:t xml:space="preserve">- устанавливать минимальные размеры окладов, минимальные размеры должностных окладов по иным категориям работников организаций по соответствующим квалификационным уровням </w:t>
      </w:r>
      <w:hyperlink w:history="0" r:id="rId28"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ПКГ</w:t>
        </w:r>
      </w:hyperlink>
      <w:r>
        <w:rPr>
          <w:sz w:val="20"/>
        </w:rPr>
        <w:t xml:space="preserve">,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 устанавливать размеры окладов (должностных окладов) в зависимости от сложности труда - по профессиям рабочих или должностям служащих, не включенным в профессиональные квалификационные группы;</w:t>
      </w:r>
    </w:p>
    <w:p>
      <w:pPr>
        <w:pStyle w:val="0"/>
        <w:spacing w:before="200" w:line-rule="auto"/>
        <w:ind w:firstLine="540"/>
        <w:jc w:val="both"/>
      </w:pPr>
      <w:r>
        <w:rPr>
          <w:sz w:val="20"/>
        </w:rPr>
        <w:t xml:space="preserve">- не допускать установление по должностям, входящим в один и тот же квалификационный уровень ПКГ, различных размеров окладов (должностных окладов), ставок заработной платы, а также установления диапазонов размеров окладов (должностных окладов), ставок заработной платы по квалификационным уровням ПКГ либо по должностям работников с равной сложностью труда.</w:t>
      </w:r>
    </w:p>
    <w:p>
      <w:pPr>
        <w:pStyle w:val="0"/>
        <w:spacing w:before="200" w:line-rule="auto"/>
        <w:ind w:firstLine="540"/>
        <w:jc w:val="both"/>
      </w:pPr>
      <w:r>
        <w:rPr>
          <w:sz w:val="20"/>
        </w:rPr>
        <w:t xml:space="preserve">Кроме того, </w:t>
      </w:r>
      <w:hyperlink w:history="0" r:id="rId29" w:tooltip="&quot;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18 год&quot; (утв. решением Российской трехсторонней комиссии по регулированию социально-трудовых отношений от 22.12.2017, протокол N 11) {КонсультантПлюс}">
        <w:r>
          <w:rPr>
            <w:sz w:val="20"/>
            <w:color w:val="0000ff"/>
          </w:rPr>
          <w:t xml:space="preserve">пунктом 33</w:t>
        </w:r>
      </w:hyperlink>
      <w:r>
        <w:rPr>
          <w:sz w:val="20"/>
        </w:rPr>
        <w:t xml:space="preserve"> Единых рекомендаций предусмотрено, что при разработке нормативных правовых актов по оплате труда работников учреждений органы государственной власти субъектов Российской Федерации, органы местного самоуправления не вправе устанавливать по должностям работников, входящим в один и тот же квалификационный уровень ПКГ, различные размеры повышающих коэффициентов к окладам (должностным окладам), ставкам заработной платы, а также устанавливать понижающие коэффициенты по должностям служащих, сформированным в ПКГ должностей, занятие которых требует наличия высшего образования, в случае принятия на такую должность лица, у которого отсутствует высшее образование.</w:t>
      </w:r>
    </w:p>
    <w:p>
      <w:pPr>
        <w:pStyle w:val="0"/>
        <w:spacing w:before="200" w:line-rule="auto"/>
        <w:ind w:firstLine="540"/>
        <w:jc w:val="both"/>
      </w:pPr>
      <w:r>
        <w:rPr>
          <w:sz w:val="20"/>
        </w:rPr>
        <w:t xml:space="preserve">2.4. Оплату труда педагогических работников, для которых </w:t>
      </w:r>
      <w:hyperlink w:history="0" r:id="rId30"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пунктами 2.1</w:t>
        </w:r>
      </w:hyperlink>
      <w:r>
        <w:rPr>
          <w:sz w:val="20"/>
        </w:rPr>
        <w:t xml:space="preserve">, </w:t>
      </w:r>
      <w:hyperlink w:history="0" r:id="rId31"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2.2 приложения N 1</w:t>
        </w:r>
      </w:hyperlink>
      <w:r>
        <w:rPr>
          <w:sz w:val="20"/>
        </w:rPr>
        <w:t xml:space="preserve"> к приказу Минобрнауки России N 1601 установлена продолжительность рабочего времени, рекомендуется осуществлять на основе должностных окладов, размеры которых устанавливаются организацией не ниже минимальных размеров должностных окладов по квалификационным уровням </w:t>
      </w:r>
      <w:hyperlink w:history="0" r:id="rId32"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устанавливаемых органами государственной власти субъектов Российской Федерации, органами местного самоуправления.</w:t>
      </w:r>
    </w:p>
    <w:bookmarkStart w:id="66" w:name="P66"/>
    <w:bookmarkEnd w:id="66"/>
    <w:p>
      <w:pPr>
        <w:pStyle w:val="0"/>
        <w:spacing w:before="200" w:line-rule="auto"/>
        <w:ind w:firstLine="540"/>
        <w:jc w:val="both"/>
      </w:pPr>
      <w:r>
        <w:rPr>
          <w:sz w:val="20"/>
        </w:rPr>
        <w:t xml:space="preserve">2.5. Оплату труда педагогических работников, для которых </w:t>
      </w:r>
      <w:hyperlink w:history="0" r:id="rId33"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пунктами 2.3</w:t>
        </w:r>
      </w:hyperlink>
      <w:r>
        <w:rPr>
          <w:sz w:val="20"/>
        </w:rPr>
        <w:t xml:space="preserve"> - </w:t>
      </w:r>
      <w:hyperlink w:history="0" r:id="rId34"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2.8 приложения 1</w:t>
        </w:r>
      </w:hyperlink>
      <w:r>
        <w:rPr>
          <w:sz w:val="20"/>
        </w:rPr>
        <w:t xml:space="preserve"> к приказу Минобрнауки России N 1601 предусмотрены нормы часов педагогической работы за ставку заработной платы в неделю (в год), рекомендуется осуществлять на основе ставок заработной платы, размеры которых устанавливаются организацией не ниже минимальных размеров ставок заработной платы по квалификационным уровням </w:t>
      </w:r>
      <w:hyperlink w:history="0" r:id="rId35"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устанавливаемых органами государственной власти субъектов Российской Федерации, органами местного самоуправления.</w:t>
      </w:r>
    </w:p>
    <w:p>
      <w:pPr>
        <w:pStyle w:val="0"/>
        <w:spacing w:before="200" w:line-rule="auto"/>
        <w:ind w:firstLine="540"/>
        <w:jc w:val="both"/>
      </w:pPr>
      <w:r>
        <w:rPr>
          <w:sz w:val="20"/>
        </w:rPr>
        <w:t xml:space="preserve">Размеры ставок заработной платы наряду с нормами часов педагогической работы за ставку заработной платы в неделю (в год) являются расчетными величинами, принимаемыми для исчисления заработной платы педагогических работников за месяц с учетом установленного организацией объема педагогической работы или учебной (преподавательской) работы в неделю (в год).</w:t>
      </w:r>
    </w:p>
    <w:p>
      <w:pPr>
        <w:pStyle w:val="0"/>
        <w:spacing w:before="200" w:line-rule="auto"/>
        <w:ind w:firstLine="540"/>
        <w:jc w:val="both"/>
      </w:pPr>
      <w:r>
        <w:rPr>
          <w:sz w:val="20"/>
        </w:rPr>
        <w:t xml:space="preserve">2.6. Должностные оклады, ставки заработной платы педагогических работников, руководителей структурных подразделений и работников из числа учебно-вспомогательного персонала устанавливаются организациями по квалификационным уровням </w:t>
      </w:r>
      <w:hyperlink w:history="0" r:id="rId36"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должностей работников образования (</w:t>
      </w:r>
      <w:hyperlink w:history="0" r:id="rId37"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приказ</w:t>
        </w:r>
      </w:hyperlink>
      <w:r>
        <w:rPr>
          <w:sz w:val="20"/>
        </w:rPr>
        <w:t xml:space="preserve"> Минздравсоцразвития N 216н).</w:t>
      </w:r>
    </w:p>
    <w:p>
      <w:pPr>
        <w:pStyle w:val="0"/>
        <w:spacing w:before="200" w:line-rule="auto"/>
        <w:ind w:firstLine="540"/>
        <w:jc w:val="both"/>
      </w:pPr>
      <w:r>
        <w:rPr>
          <w:sz w:val="20"/>
        </w:rPr>
        <w:t xml:space="preserve">Оклады (должностные оклады), ставки заработной платы являются фиксированными размерами оплаты труда работников организации за исполнение должностных обязанностей, предусмотренных трудовыми договорами, должностными инструкциями, разработанными с учетом соответствующих </w:t>
      </w:r>
      <w:hyperlink w:history="0" r:id="rId38" w:tooltip="Приказ Минздравсоцразвития РФ от 26.08.2010 N 761н (ред. от 31.05.2011)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аботников образования&quot; (Зарегистрировано в Минюсте РФ 06.10.2010 N 18638) {КонсультантПлюс}">
        <w:r>
          <w:rPr>
            <w:sz w:val="20"/>
            <w:color w:val="0000ff"/>
          </w:rPr>
          <w:t xml:space="preserve">квалификационных характеристик</w:t>
        </w:r>
      </w:hyperlink>
      <w:r>
        <w:rPr>
          <w:sz w:val="20"/>
        </w:rPr>
        <w:t xml:space="preserve">, без учета компенсационных, стимулирующих и социальных выплат, а для педагогических работников, для которых установлены нормы часов педагогической работы или учебной (преподавательской) работы за ставку заработной платы - без учета фактического объема педагогической работы и (или) учебной (преподавательской) работы.</w:t>
      </w:r>
    </w:p>
    <w:p>
      <w:pPr>
        <w:pStyle w:val="0"/>
        <w:spacing w:before="200" w:line-rule="auto"/>
        <w:ind w:firstLine="540"/>
        <w:jc w:val="both"/>
      </w:pPr>
      <w:r>
        <w:rPr>
          <w:sz w:val="20"/>
        </w:rPr>
        <w:t xml:space="preserve">2.7. При определении размеров должностных окладов, ставок заработной платы педагогических работников рекомендуется учитывать принятые образовательной организацией обязательства по повышению уровня заработной платы педагогических работников, показатели повышения эффективности и качества образования, этапы перехода к эффективному контракту, в части отношения среднемесячной заработной платы педагогических работников государственных и муниципальных образовательных организаций к среднемесячной заработной плате в субъекте Российской Федерации, в соответствии с </w:t>
      </w:r>
      <w:hyperlink w:history="0" r:id="rId39" w:tooltip="Распоряжение Правительства РФ от 30.04.2014 N 722-р &lt;Об утверждении плана мероприятий (&quot;дорожной карты&quot;) &quot;Изменения в отраслях социальной сферы, направленные на повышение эффективности образования и науки&quot;&gt; {КонсультантПлюс}">
        <w:r>
          <w:rPr>
            <w:sz w:val="20"/>
            <w:color w:val="0000ff"/>
          </w:rPr>
          <w:t xml:space="preserve">Распоряжением</w:t>
        </w:r>
      </w:hyperlink>
      <w:r>
        <w:rPr>
          <w:sz w:val="20"/>
        </w:rPr>
        <w:t xml:space="preserve"> Правительства N 722-р.</w:t>
      </w:r>
    </w:p>
    <w:p>
      <w:pPr>
        <w:pStyle w:val="0"/>
        <w:jc w:val="both"/>
      </w:pPr>
      <w:r>
        <w:rPr>
          <w:sz w:val="20"/>
        </w:rPr>
      </w:r>
    </w:p>
    <w:p>
      <w:pPr>
        <w:pStyle w:val="2"/>
        <w:outlineLvl w:val="1"/>
        <w:jc w:val="center"/>
      </w:pPr>
      <w:r>
        <w:rPr>
          <w:sz w:val="20"/>
        </w:rPr>
        <w:t xml:space="preserve">III. Особенности оплаты труда отдельных</w:t>
      </w:r>
    </w:p>
    <w:p>
      <w:pPr>
        <w:pStyle w:val="2"/>
        <w:jc w:val="center"/>
      </w:pPr>
      <w:r>
        <w:rPr>
          <w:sz w:val="20"/>
        </w:rPr>
        <w:t xml:space="preserve">педагогических работников</w:t>
      </w:r>
    </w:p>
    <w:p>
      <w:pPr>
        <w:pStyle w:val="0"/>
        <w:jc w:val="both"/>
      </w:pPr>
      <w:r>
        <w:rPr>
          <w:sz w:val="20"/>
        </w:rPr>
      </w:r>
    </w:p>
    <w:p>
      <w:pPr>
        <w:pStyle w:val="0"/>
        <w:ind w:firstLine="540"/>
        <w:jc w:val="both"/>
      </w:pPr>
      <w:r>
        <w:rPr>
          <w:sz w:val="20"/>
        </w:rPr>
        <w:t xml:space="preserve">3.1. В целях обеспечения равной оплаты за труд равной ценности педагогических работников, которым установлены нормы часов учебной (преподавательской) или педагогической работы за ставку заработной платы &lt;*&gt;, исчисление размера оплаты за фактический объем учебной (преподавательской) или педагогической работы рекомендуется осуществлять исходя из конкретных размеров ставок заработной платы, установленных в организации по квалификационному уровню </w:t>
      </w:r>
      <w:hyperlink w:history="0" r:id="rId40"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без применения к ним каких-либо повышающих коэффициентов и (или) повышений, устанавливаемых в процентах (в абсолютных величинах) (далее - повышения) за квалификационные категории или по иным основаниям.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Нормы часов за ставку заработной платы в неделю учебной (преподавательской) работы - 18 час., педагогической работы - 20, 24, 25, 30, 36 час. (</w:t>
      </w:r>
      <w:hyperlink w:history="0" r:id="rId41"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пункты 2.3</w:t>
        </w:r>
      </w:hyperlink>
      <w:r>
        <w:rPr>
          <w:sz w:val="20"/>
        </w:rPr>
        <w:t xml:space="preserve"> - </w:t>
      </w:r>
      <w:hyperlink w:history="0" r:id="rId42"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2.8 приложения 1</w:t>
        </w:r>
      </w:hyperlink>
      <w:r>
        <w:rPr>
          <w:sz w:val="20"/>
        </w:rPr>
        <w:t xml:space="preserve"> к приказу Минобрнауки России N 1601).</w:t>
      </w:r>
    </w:p>
    <w:p>
      <w:pPr>
        <w:pStyle w:val="0"/>
        <w:jc w:val="both"/>
      </w:pPr>
      <w:r>
        <w:rPr>
          <w:sz w:val="20"/>
        </w:rPr>
      </w:r>
    </w:p>
    <w:p>
      <w:pPr>
        <w:pStyle w:val="0"/>
        <w:ind w:firstLine="540"/>
        <w:jc w:val="both"/>
      </w:pPr>
      <w:r>
        <w:rPr>
          <w:sz w:val="20"/>
        </w:rPr>
        <w:t xml:space="preserve">При оплате труда указанных педагогических работников применение повышений за квалификационные категории, а также за работу в организациях, расположенных в сельской местности, за специфику работы в организациях (отделениях, классах, группах) для обучающихся с ограниченными возможностями здоровья и (или) нуждающихся в длительном лечении, в учреждениях для детей-сирот и детей, оставшихся без попечения родителей, в специальных учебно-воспитательных учреждениях для детей и подростков с девиантным поведением и по другим основаниям, рекомендуется осуществлять к размеру оплаты за фактический объем учебной (преподавательской) и (или) педагогической работы (см. примеры исчисления заработной платы по отдельным категориям педагогических работников).</w:t>
      </w:r>
    </w:p>
    <w:p>
      <w:pPr>
        <w:pStyle w:val="0"/>
        <w:spacing w:before="200" w:line-rule="auto"/>
        <w:ind w:firstLine="540"/>
        <w:jc w:val="both"/>
      </w:pPr>
      <w:r>
        <w:rPr>
          <w:sz w:val="20"/>
        </w:rPr>
        <w:t xml:space="preserve">При наличии у работников права на применение повышений по нескольким основаниям их величины по каждому основанию рекомендуется определять отдельно.</w:t>
      </w:r>
    </w:p>
    <w:p>
      <w:pPr>
        <w:pStyle w:val="0"/>
        <w:spacing w:before="200" w:line-rule="auto"/>
        <w:ind w:firstLine="540"/>
        <w:jc w:val="both"/>
      </w:pPr>
      <w:r>
        <w:rPr>
          <w:sz w:val="20"/>
        </w:rPr>
        <w:t xml:space="preserve">3.2. За педагогическую работу или учебную (преподавательскую) работу, выполняемую педагогическим работником организации с его письменного согласия сверх установленной нормы часов за ставку заработной платы, либо ниже установленной нормы часов за ставку заработной платы, рекомендуется производить оплату из установленного размера ставки заработной платы пропорционально фактически определенному объему учебной нагрузки или педагогической работы.</w:t>
      </w:r>
    </w:p>
    <w:p>
      <w:pPr>
        <w:pStyle w:val="0"/>
        <w:spacing w:before="200" w:line-rule="auto"/>
        <w:ind w:firstLine="540"/>
        <w:jc w:val="both"/>
      </w:pPr>
      <w:r>
        <w:rPr>
          <w:sz w:val="20"/>
        </w:rPr>
        <w:t xml:space="preserve">Исключением являются случаи выплаты ставок заработной платы в полном размере, гарантируемые согласно </w:t>
      </w:r>
      <w:hyperlink w:history="0" r:id="rId43"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пункту 2.2 приложения 2</w:t>
        </w:r>
      </w:hyperlink>
      <w:r>
        <w:rPr>
          <w:sz w:val="20"/>
        </w:rPr>
        <w:t xml:space="preserve"> к приказу Минобрнауки России N 1601 педагогическим работникам, которым не может быть обеспечена учебная нагрузка в объеме, соответствующем норме часов, установленной за ставку заработной платы в неделю (</w:t>
      </w:r>
      <w:hyperlink w:history="0" r:id="rId44"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примечание 4 приложения 1</w:t>
        </w:r>
      </w:hyperlink>
      <w:r>
        <w:rPr>
          <w:sz w:val="20"/>
        </w:rPr>
        <w:t xml:space="preserve"> к приказу Минобрнауки России N 1601).</w:t>
      </w:r>
    </w:p>
    <w:p>
      <w:pPr>
        <w:pStyle w:val="0"/>
        <w:spacing w:before="200" w:line-rule="auto"/>
        <w:ind w:firstLine="540"/>
        <w:jc w:val="both"/>
      </w:pPr>
      <w:r>
        <w:rPr>
          <w:sz w:val="20"/>
        </w:rPr>
        <w:t xml:space="preserve">3.3. Помимо оплаты труда за фактический объем учебной нагрузки, педагогическим работникам организации согласно </w:t>
      </w:r>
      <w:hyperlink w:history="0" r:id="rId45"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пункту 2.3</w:t>
        </w:r>
      </w:hyperlink>
      <w:r>
        <w:rPr>
          <w:sz w:val="20"/>
        </w:rPr>
        <w:t xml:space="preserve"> приложения к приказу Минобрнауки России от 11 мая 2016 г. N 536 (зарегистрировано Минюстом России 1 июня 2016 г., регистрационный N 42388) могут устанавливаться размеры дополнительной оплаты за выполнение с их письменного согласия дополнительных видов работ (классное руководство, проверка письменных работ, заведование учебными кабинетами и другие дополнительные видов работы, не входящих в должностные обязанности, но непосредственно связанных с образовательной деятельностью, с указанием в трудовом договоре их содержания, срока выполнения и размера оплаты), которые устанавливаются организацией самостоятельно в процентах или коэффициентах и определяются из размера ставки заработной платы, предусмотренной по каждому квалификационному уровню </w:t>
      </w:r>
      <w:hyperlink w:history="0" r:id="rId46"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w:t>
      </w:r>
    </w:p>
    <w:p>
      <w:pPr>
        <w:pStyle w:val="0"/>
        <w:spacing w:before="200" w:line-rule="auto"/>
        <w:ind w:firstLine="540"/>
        <w:jc w:val="both"/>
      </w:pPr>
      <w:r>
        <w:rPr>
          <w:sz w:val="20"/>
        </w:rPr>
        <w:t xml:space="preserve">3.4. Для учета всех видов выплат, гарантируемых педагогическому работнику в месяц, рекомендуется применять унифицированную форму (Тарификационный список работников), предусмотренную </w:t>
      </w:r>
      <w:hyperlink w:history="0" w:anchor="P223" w:tooltip="ТАРИФИКАЦИОННЫЙ СПИСОК РАБОТНИКОВ">
        <w:r>
          <w:rPr>
            <w:sz w:val="20"/>
            <w:color w:val="0000ff"/>
          </w:rPr>
          <w:t xml:space="preserve">приложением 1</w:t>
        </w:r>
      </w:hyperlink>
      <w:r>
        <w:rPr>
          <w:sz w:val="20"/>
        </w:rPr>
        <w:t xml:space="preserve"> к настоящим Методическим рекомендациям.</w:t>
      </w:r>
    </w:p>
    <w:p>
      <w:pPr>
        <w:pStyle w:val="0"/>
        <w:spacing w:before="200" w:line-rule="auto"/>
        <w:ind w:firstLine="540"/>
        <w:jc w:val="both"/>
      </w:pPr>
      <w:r>
        <w:rPr>
          <w:sz w:val="20"/>
        </w:rPr>
        <w:t xml:space="preserve">За время работы в период осенних, зимних, весенних и летних каникул обучающихся, а также в периоды отмены (приостановки) для обучающихся учебных занятий (деятельности организации по реализации образовательных программ, по присмотру и уходу за детьми) по санитарно-эпидемиологическим, климатическим и другим основаниям, оплату труда педагогических работников, а также лиц из числа руководителей, их заместителей, иных работников, замещающих в течение учебного года должности педагогических работников наряду с работой, определенной трудовым договором, рекомендуется производить из расчета заработной платы, установленной на период, предшествующий началу каникул, отмены (приостановки) учебных занятий (деятельности организации по реализации образовательных программ, по присмотру и уходу за детьми) по указанным основаниям.</w:t>
      </w:r>
    </w:p>
    <w:p>
      <w:pPr>
        <w:pStyle w:val="0"/>
        <w:spacing w:before="200" w:line-rule="auto"/>
        <w:ind w:firstLine="540"/>
        <w:jc w:val="both"/>
      </w:pPr>
      <w:r>
        <w:rPr>
          <w:sz w:val="20"/>
        </w:rPr>
        <w:t xml:space="preserve">Пример N 1.</w:t>
      </w:r>
    </w:p>
    <w:p>
      <w:pPr>
        <w:pStyle w:val="0"/>
        <w:spacing w:before="200" w:line-rule="auto"/>
        <w:ind w:firstLine="540"/>
        <w:jc w:val="both"/>
      </w:pPr>
      <w:r>
        <w:rPr>
          <w:sz w:val="20"/>
        </w:rPr>
        <w:t xml:space="preserve">Учителю (преподавателю, к которому применяется норма часов преподавательской работы 18 часов в неделю за ставку заработной платы), имеющему первую квалификационную категорию, в порядке, предусмотренном </w:t>
      </w:r>
      <w:hyperlink w:history="0" r:id="rId47"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приложением 2</w:t>
        </w:r>
      </w:hyperlink>
      <w:r>
        <w:rPr>
          <w:sz w:val="20"/>
        </w:rPr>
        <w:t xml:space="preserve"> к приказу Минобрнауки России N 1601, на новый учебный год с письменного согласия установлен объем учебной нагрузки 27 часов в неделю, с учетом которого должно осуществляться исчисление заработной платы в месяц.</w:t>
      </w:r>
    </w:p>
    <w:p>
      <w:pPr>
        <w:pStyle w:val="0"/>
        <w:spacing w:before="200" w:line-rule="auto"/>
        <w:ind w:firstLine="540"/>
        <w:jc w:val="both"/>
      </w:pPr>
      <w:r>
        <w:rPr>
          <w:sz w:val="20"/>
        </w:rPr>
        <w:t xml:space="preserve">Месячный заработок этого учителя (преподавателя) за фактическую учебную нагрузку должен быть рассчитан путем умножения размера ставки заработной платы, установленного по квалификационному уровню </w:t>
      </w:r>
      <w:hyperlink w:history="0" r:id="rId48"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на 27 (фактический недельный объем учебной нагрузки), деления полученного результата на 18 (норма часов учебной (преподавательской) работы в неделю, за которую выплачивается ставка заработной платы), а затем умножения полученного результата на величину повышающего коэффициента (повышения, установленного в процентах, в абсолютных величинах) за квалификационную категорию. При наличии оснований для применения других повышающих коэффициентов (повышений, установленных в процентах, в абсолютных величинах) к заработной плате, исчисленной за фактический объем учебной нагрузки, применяется сумма повышений по различным основаниям.</w:t>
      </w:r>
    </w:p>
    <w:p>
      <w:pPr>
        <w:pStyle w:val="0"/>
        <w:spacing w:before="200" w:line-rule="auto"/>
        <w:ind w:firstLine="540"/>
        <w:jc w:val="both"/>
      </w:pPr>
      <w:r>
        <w:rPr>
          <w:sz w:val="20"/>
        </w:rPr>
        <w:t xml:space="preserve">Месячный заработок этого учителя (преподавателя) за фактическую учебную нагрузку будет исчисляться по следующей формуле:</w:t>
      </w:r>
    </w:p>
    <w:p>
      <w:pPr>
        <w:pStyle w:val="0"/>
        <w:jc w:val="both"/>
      </w:pPr>
      <w:r>
        <w:rPr>
          <w:sz w:val="20"/>
        </w:rPr>
      </w:r>
    </w:p>
    <w:p>
      <w:pPr>
        <w:pStyle w:val="0"/>
        <w:ind w:firstLine="540"/>
        <w:jc w:val="both"/>
      </w:pPr>
      <w:r>
        <w:rPr>
          <w:position w:val="-21"/>
        </w:rPr>
        <w:drawing>
          <wp:inline distT="0" distB="0" distL="0" distR="0">
            <wp:extent cx="1266825" cy="3943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a:extLst>
                        <a:ext uri="{28A0092B-C50C-407E-A947-70E740481C1C}">
                          <a14:useLocalDpi xmlns:a14="http://schemas.microsoft.com/office/drawing/2010/main" val="0"/>
                        </a:ext>
                      </a:extLst>
                    </a:blip>
                    <a:srcRect/>
                    <a:stretch>
                      <a:fillRect/>
                    </a:stretch>
                  </pic:blipFill>
                  <pic:spPr bwMode="auto">
                    <a:xfrm>
                      <a:off x="0" y="0"/>
                      <a:ext cx="1266825" cy="39433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6"/>
        </w:rPr>
        <w:drawing>
          <wp:inline distT="0" distB="0" distL="0" distR="0">
            <wp:extent cx="342900" cy="2038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0">
                      <a:extLst>
                        <a:ext uri="{28A0092B-C50C-407E-A947-70E740481C1C}">
                          <a14:useLocalDpi xmlns:a14="http://schemas.microsoft.com/office/drawing/2010/main" val="0"/>
                        </a:ext>
                      </a:extLst>
                    </a:blip>
                    <a:srcRect/>
                    <a:stretch>
                      <a:fillRect/>
                    </a:stretch>
                  </pic:blipFill>
                  <pic:spPr bwMode="auto">
                    <a:xfrm>
                      <a:off x="0" y="0"/>
                      <a:ext cx="342900" cy="203835"/>
                    </a:xfrm>
                    <a:prstGeom prst="rect">
                      <a:avLst/>
                    </a:prstGeom>
                    <a:noFill/>
                    <a:ln>
                      <a:noFill/>
                    </a:ln>
                  </pic:spPr>
                </pic:pic>
              </a:graphicData>
            </a:graphic>
          </wp:inline>
        </w:drawing>
      </w:r>
      <w:r>
        <w:rPr>
          <w:sz w:val="20"/>
        </w:rPr>
        <w:t xml:space="preserve"> - зарплата учителя (преподавателя) в месяц за фактический объем учебной нагрузки в неделю;</w:t>
      </w:r>
    </w:p>
    <w:p>
      <w:pPr>
        <w:pStyle w:val="0"/>
        <w:spacing w:before="200" w:line-rule="auto"/>
        <w:ind w:firstLine="540"/>
        <w:jc w:val="both"/>
      </w:pPr>
      <w:r>
        <w:rPr>
          <w:position w:val="-4"/>
        </w:rPr>
        <w:drawing>
          <wp:inline distT="0" distB="0" distL="0" distR="0">
            <wp:extent cx="259715" cy="1847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a:extLst>
                        <a:ext uri="{28A0092B-C50C-407E-A947-70E740481C1C}">
                          <a14:useLocalDpi xmlns:a14="http://schemas.microsoft.com/office/drawing/2010/main" val="0"/>
                        </a:ext>
                      </a:extLst>
                    </a:blip>
                    <a:srcRect/>
                    <a:stretch>
                      <a:fillRect/>
                    </a:stretch>
                  </pic:blipFill>
                  <pic:spPr bwMode="auto">
                    <a:xfrm>
                      <a:off x="0" y="0"/>
                      <a:ext cx="259715" cy="184785"/>
                    </a:xfrm>
                    <a:prstGeom prst="rect">
                      <a:avLst/>
                    </a:prstGeom>
                    <a:noFill/>
                    <a:ln>
                      <a:noFill/>
                    </a:ln>
                  </pic:spPr>
                </pic:pic>
              </a:graphicData>
            </a:graphic>
          </wp:inline>
        </w:drawing>
      </w:r>
      <w:r>
        <w:rPr>
          <w:sz w:val="20"/>
        </w:rPr>
        <w:t xml:space="preserve"> - размер ставки заработной платы учителя (преподавателя) в месяц, установленный по квалификационному уровню </w:t>
      </w:r>
      <w:hyperlink w:history="0" r:id="rId52"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за норму часов учебной (преподавательской) работы в неделю;</w:t>
      </w:r>
    </w:p>
    <w:p>
      <w:pPr>
        <w:pStyle w:val="0"/>
        <w:spacing w:before="200" w:line-rule="auto"/>
        <w:ind w:firstLine="540"/>
        <w:jc w:val="both"/>
      </w:pPr>
      <w:r>
        <w:rPr>
          <w:position w:val="-4"/>
        </w:rPr>
        <w:drawing>
          <wp:inline distT="0" distB="0" distL="0" distR="0">
            <wp:extent cx="240665" cy="1847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3">
                      <a:extLst>
                        <a:ext uri="{28A0092B-C50C-407E-A947-70E740481C1C}">
                          <a14:useLocalDpi xmlns:a14="http://schemas.microsoft.com/office/drawing/2010/main" val="0"/>
                        </a:ext>
                      </a:extLst>
                    </a:blip>
                    <a:srcRect/>
                    <a:stretch>
                      <a:fillRect/>
                    </a:stretch>
                  </pic:blipFill>
                  <pic:spPr bwMode="auto">
                    <a:xfrm>
                      <a:off x="0" y="0"/>
                      <a:ext cx="240665" cy="184785"/>
                    </a:xfrm>
                    <a:prstGeom prst="rect">
                      <a:avLst/>
                    </a:prstGeom>
                    <a:noFill/>
                    <a:ln>
                      <a:noFill/>
                    </a:ln>
                  </pic:spPr>
                </pic:pic>
              </a:graphicData>
            </a:graphic>
          </wp:inline>
        </w:drawing>
      </w:r>
      <w:r>
        <w:rPr>
          <w:sz w:val="20"/>
        </w:rPr>
        <w:t xml:space="preserve"> - фактический объем учебной нагрузки учителя (преподавателя) в неделю;</w:t>
      </w:r>
    </w:p>
    <w:p>
      <w:pPr>
        <w:pStyle w:val="0"/>
        <w:spacing w:before="200" w:line-rule="auto"/>
        <w:ind w:firstLine="540"/>
        <w:jc w:val="both"/>
      </w:pPr>
      <w:r>
        <w:rPr>
          <w:position w:val="-4"/>
        </w:rPr>
        <w:drawing>
          <wp:inline distT="0" distB="0" distL="0" distR="0">
            <wp:extent cx="240665" cy="1847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4">
                      <a:extLst>
                        <a:ext uri="{28A0092B-C50C-407E-A947-70E740481C1C}">
                          <a14:useLocalDpi xmlns:a14="http://schemas.microsoft.com/office/drawing/2010/main" val="0"/>
                        </a:ext>
                      </a:extLst>
                    </a:blip>
                    <a:srcRect/>
                    <a:stretch>
                      <a:fillRect/>
                    </a:stretch>
                  </pic:blipFill>
                  <pic:spPr bwMode="auto">
                    <a:xfrm>
                      <a:off x="0" y="0"/>
                      <a:ext cx="240665" cy="184785"/>
                    </a:xfrm>
                    <a:prstGeom prst="rect">
                      <a:avLst/>
                    </a:prstGeom>
                    <a:noFill/>
                    <a:ln>
                      <a:noFill/>
                    </a:ln>
                  </pic:spPr>
                </pic:pic>
              </a:graphicData>
            </a:graphic>
          </wp:inline>
        </w:drawing>
      </w:r>
      <w:r>
        <w:rPr>
          <w:sz w:val="20"/>
        </w:rPr>
        <w:t xml:space="preserve"> - норма часов учебной (преподавательской) работы учителя (преподавателя) в неделю за ставку заработной платы в месяц;</w:t>
      </w:r>
    </w:p>
    <w:p>
      <w:pPr>
        <w:pStyle w:val="0"/>
        <w:spacing w:before="200" w:line-rule="auto"/>
        <w:ind w:firstLine="540"/>
        <w:jc w:val="both"/>
      </w:pPr>
      <w:r>
        <w:rPr>
          <w:position w:val="-3"/>
        </w:rPr>
        <w:drawing>
          <wp:inline distT="0" distB="0" distL="0" distR="0">
            <wp:extent cx="240665" cy="165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a:extLst>
                        <a:ext uri="{28A0092B-C50C-407E-A947-70E740481C1C}">
                          <a14:useLocalDpi xmlns:a14="http://schemas.microsoft.com/office/drawing/2010/main" val="0"/>
                        </a:ext>
                      </a:extLst>
                    </a:blip>
                    <a:srcRect/>
                    <a:stretch>
                      <a:fillRect/>
                    </a:stretch>
                  </pic:blipFill>
                  <pic:spPr bwMode="auto">
                    <a:xfrm>
                      <a:off x="0" y="0"/>
                      <a:ext cx="240665" cy="165100"/>
                    </a:xfrm>
                    <a:prstGeom prst="rect">
                      <a:avLst/>
                    </a:prstGeom>
                    <a:noFill/>
                    <a:ln>
                      <a:noFill/>
                    </a:ln>
                  </pic:spPr>
                </pic:pic>
              </a:graphicData>
            </a:graphic>
          </wp:inline>
        </w:drawing>
      </w:r>
      <w:r>
        <w:rPr>
          <w:sz w:val="20"/>
        </w:rPr>
        <w:t xml:space="preserve"> - повышающий коэффициент (повышение, установленное в процентах; в абсолютных величинах) за квалификационную категорию, применяемый к заработной плате учителя (преподавателя), исчисленной с учетом фактического объема учебной нагрузки из размера ставки заработной платы, установленной по квалификационному уровню </w:t>
      </w:r>
      <w:hyperlink w:history="0" r:id="rId56"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При наличии оснований для применения других повышающих коэффициентов (повышений, установленных в процентах, в абсолютных величинах) к заработной плате, исчисленной за фактический объем учебной нагрузки, применяется сумма повышений по различным основаниям.</w:t>
      </w:r>
    </w:p>
    <w:p>
      <w:pPr>
        <w:pStyle w:val="0"/>
        <w:spacing w:before="200" w:line-rule="auto"/>
        <w:ind w:firstLine="540"/>
        <w:jc w:val="both"/>
      </w:pPr>
      <w:r>
        <w:rPr>
          <w:sz w:val="20"/>
        </w:rPr>
        <w:t xml:space="preserve">Тарификацию педагогических работников для определения их заработной платы за фактический объем учебной нагрузки рекомендуется производить один раз в год, но раздельно по полугодиям (за иной период), если учебными планами на каждое полугодие (на иной период) предусматривается разное количество часов в неделю на предмет (дисциплину).</w:t>
      </w:r>
    </w:p>
    <w:p>
      <w:pPr>
        <w:pStyle w:val="0"/>
        <w:spacing w:before="200" w:line-rule="auto"/>
        <w:ind w:firstLine="540"/>
        <w:jc w:val="both"/>
      </w:pPr>
      <w:r>
        <w:rPr>
          <w:sz w:val="20"/>
        </w:rPr>
        <w:t xml:space="preserve">В аналогичном порядке (в том числе с применением той же формулы расчета) следует исчислять заработную плату других педагогических работников, для которых </w:t>
      </w:r>
      <w:hyperlink w:history="0" r:id="rId57"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пунктом 2.8.1 приложения 1</w:t>
        </w:r>
      </w:hyperlink>
      <w:r>
        <w:rPr>
          <w:sz w:val="20"/>
        </w:rPr>
        <w:t xml:space="preserve"> к приказу Минобрнауки России N 1601 установлена норма часов преподавательской работы 18 часов в неделю за ставку заработной платы, в частности, педагогов дополнительного образования, старших педагогов дополнительного образования, тренеров-преподавателей, старших тренеров-преподавателей.</w:t>
      </w:r>
    </w:p>
    <w:p>
      <w:pPr>
        <w:pStyle w:val="0"/>
        <w:spacing w:before="200" w:line-rule="auto"/>
        <w:ind w:firstLine="540"/>
        <w:jc w:val="both"/>
      </w:pPr>
      <w:r>
        <w:rPr>
          <w:sz w:val="20"/>
        </w:rPr>
        <w:t xml:space="preserve">Пример N 2.</w:t>
      </w:r>
    </w:p>
    <w:p>
      <w:pPr>
        <w:pStyle w:val="0"/>
        <w:spacing w:before="200" w:line-rule="auto"/>
        <w:ind w:firstLine="540"/>
        <w:jc w:val="both"/>
      </w:pPr>
      <w:r>
        <w:rPr>
          <w:sz w:val="20"/>
        </w:rPr>
        <w:t xml:space="preserve">Воспитатель организации, реализующей дошкольную образовательную программу, имеющий высшую квалификационную категорию, по предложению работодателя согласился на постоянной основе работать один с детьми в группе общеразвивающей направленности, функционирующей при пятидневной рабочей неделе по 10,5 часов в день. В неделю фактический объем педагогической работы такого воспитателя составит 52,5 часа.</w:t>
      </w:r>
    </w:p>
    <w:p>
      <w:pPr>
        <w:pStyle w:val="0"/>
        <w:spacing w:before="200" w:line-rule="auto"/>
        <w:ind w:firstLine="540"/>
        <w:jc w:val="both"/>
      </w:pPr>
      <w:r>
        <w:rPr>
          <w:sz w:val="20"/>
        </w:rPr>
        <w:t xml:space="preserve">Месячная заработная этого воспитателя за часы педагогической работы должна быть рассчитана путем умножения размера ставки заработной платы, установленной по должности воспитателя по квалификационному уровню </w:t>
      </w:r>
      <w:hyperlink w:history="0" r:id="rId58"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за норму 36 часов педагогической работы в неделю, на 52,5 (фактический недельный объем педагогической работы), деления полученного результата на 36 (норма часов педагогической работы в неделю, за которую воспитателям этих групп выплачивается ставка заработной платы), а затем умножения полученного результата на повышающий коэффициент (повышение, установленное в процентах, в абсолютных величинах) за наличие квалификационной категории. При наличии оснований для применения других повышающих коэффициентов (повышений, установленных в процентах, в абсолютных величинах) к заработной плате, исчисленной за фактический объем педагогической работы, применяется сумма повышений по различным основаниям.</w:t>
      </w:r>
    </w:p>
    <w:p>
      <w:pPr>
        <w:pStyle w:val="0"/>
        <w:spacing w:before="200" w:line-rule="auto"/>
        <w:ind w:firstLine="540"/>
        <w:jc w:val="both"/>
      </w:pPr>
      <w:r>
        <w:rPr>
          <w:sz w:val="20"/>
        </w:rPr>
        <w:t xml:space="preserve">Месячный заработок этого воспитателя за фактический объем педагогической работы будет исчисляться по следующей формуле:</w:t>
      </w:r>
    </w:p>
    <w:p>
      <w:pPr>
        <w:pStyle w:val="0"/>
        <w:jc w:val="both"/>
      </w:pPr>
      <w:r>
        <w:rPr>
          <w:sz w:val="20"/>
        </w:rPr>
      </w:r>
    </w:p>
    <w:p>
      <w:pPr>
        <w:pStyle w:val="0"/>
        <w:ind w:firstLine="540"/>
        <w:jc w:val="both"/>
      </w:pPr>
      <w:r>
        <w:rPr>
          <w:position w:val="-21"/>
        </w:rPr>
        <w:drawing>
          <wp:inline distT="0" distB="0" distL="0" distR="0">
            <wp:extent cx="1266825" cy="3943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9">
                      <a:extLst>
                        <a:ext uri="{28A0092B-C50C-407E-A947-70E740481C1C}">
                          <a14:useLocalDpi xmlns:a14="http://schemas.microsoft.com/office/drawing/2010/main" val="0"/>
                        </a:ext>
                      </a:extLst>
                    </a:blip>
                    <a:srcRect/>
                    <a:stretch>
                      <a:fillRect/>
                    </a:stretch>
                  </pic:blipFill>
                  <pic:spPr bwMode="auto">
                    <a:xfrm>
                      <a:off x="0" y="0"/>
                      <a:ext cx="1266825" cy="39433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6"/>
        </w:rPr>
        <w:drawing>
          <wp:inline distT="0" distB="0" distL="0" distR="0">
            <wp:extent cx="342900" cy="2038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0">
                      <a:extLst>
                        <a:ext uri="{28A0092B-C50C-407E-A947-70E740481C1C}">
                          <a14:useLocalDpi xmlns:a14="http://schemas.microsoft.com/office/drawing/2010/main" val="0"/>
                        </a:ext>
                      </a:extLst>
                    </a:blip>
                    <a:srcRect/>
                    <a:stretch>
                      <a:fillRect/>
                    </a:stretch>
                  </pic:blipFill>
                  <pic:spPr bwMode="auto">
                    <a:xfrm>
                      <a:off x="0" y="0"/>
                      <a:ext cx="342900" cy="203835"/>
                    </a:xfrm>
                    <a:prstGeom prst="rect">
                      <a:avLst/>
                    </a:prstGeom>
                    <a:noFill/>
                    <a:ln>
                      <a:noFill/>
                    </a:ln>
                  </pic:spPr>
                </pic:pic>
              </a:graphicData>
            </a:graphic>
          </wp:inline>
        </w:drawing>
      </w:r>
      <w:r>
        <w:rPr>
          <w:sz w:val="20"/>
        </w:rPr>
        <w:t xml:space="preserve"> - оплата воспитателя в месяц, исчисленная за фактический объем педагогической работы в неделю;</w:t>
      </w:r>
    </w:p>
    <w:p>
      <w:pPr>
        <w:pStyle w:val="0"/>
        <w:spacing w:before="200" w:line-rule="auto"/>
        <w:ind w:firstLine="540"/>
        <w:jc w:val="both"/>
      </w:pPr>
      <w:r>
        <w:rPr>
          <w:position w:val="-4"/>
        </w:rPr>
        <w:drawing>
          <wp:inline distT="0" distB="0" distL="0" distR="0">
            <wp:extent cx="259715" cy="1847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a:extLst>
                        <a:ext uri="{28A0092B-C50C-407E-A947-70E740481C1C}">
                          <a14:useLocalDpi xmlns:a14="http://schemas.microsoft.com/office/drawing/2010/main" val="0"/>
                        </a:ext>
                      </a:extLst>
                    </a:blip>
                    <a:srcRect/>
                    <a:stretch>
                      <a:fillRect/>
                    </a:stretch>
                  </pic:blipFill>
                  <pic:spPr bwMode="auto">
                    <a:xfrm>
                      <a:off x="0" y="0"/>
                      <a:ext cx="259715" cy="184785"/>
                    </a:xfrm>
                    <a:prstGeom prst="rect">
                      <a:avLst/>
                    </a:prstGeom>
                    <a:noFill/>
                    <a:ln>
                      <a:noFill/>
                    </a:ln>
                  </pic:spPr>
                </pic:pic>
              </a:graphicData>
            </a:graphic>
          </wp:inline>
        </w:drawing>
      </w:r>
      <w:r>
        <w:rPr>
          <w:sz w:val="20"/>
        </w:rPr>
        <w:t xml:space="preserve"> - размер ставки заработной платы воспитателя в месяц, установленный за норму часов педагогической работы в неделю по квалификационному уровню </w:t>
      </w:r>
      <w:hyperlink w:history="0" r:id="rId61"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w:t>
      </w:r>
    </w:p>
    <w:p>
      <w:pPr>
        <w:pStyle w:val="0"/>
        <w:spacing w:before="200" w:line-rule="auto"/>
        <w:ind w:firstLine="540"/>
        <w:jc w:val="both"/>
      </w:pPr>
      <w:r>
        <w:rPr>
          <w:position w:val="-4"/>
        </w:rPr>
        <w:drawing>
          <wp:inline distT="0" distB="0" distL="0" distR="0">
            <wp:extent cx="240665" cy="1847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2">
                      <a:extLst>
                        <a:ext uri="{28A0092B-C50C-407E-A947-70E740481C1C}">
                          <a14:useLocalDpi xmlns:a14="http://schemas.microsoft.com/office/drawing/2010/main" val="0"/>
                        </a:ext>
                      </a:extLst>
                    </a:blip>
                    <a:srcRect/>
                    <a:stretch>
                      <a:fillRect/>
                    </a:stretch>
                  </pic:blipFill>
                  <pic:spPr bwMode="auto">
                    <a:xfrm>
                      <a:off x="0" y="0"/>
                      <a:ext cx="240665" cy="184785"/>
                    </a:xfrm>
                    <a:prstGeom prst="rect">
                      <a:avLst/>
                    </a:prstGeom>
                    <a:noFill/>
                    <a:ln>
                      <a:noFill/>
                    </a:ln>
                  </pic:spPr>
                </pic:pic>
              </a:graphicData>
            </a:graphic>
          </wp:inline>
        </w:drawing>
      </w:r>
      <w:r>
        <w:rPr>
          <w:sz w:val="20"/>
        </w:rPr>
        <w:t xml:space="preserve"> - фактический объем педагогической работы воспитателя в неделю;</w:t>
      </w:r>
    </w:p>
    <w:p>
      <w:pPr>
        <w:pStyle w:val="0"/>
        <w:spacing w:before="200" w:line-rule="auto"/>
        <w:ind w:firstLine="540"/>
        <w:jc w:val="both"/>
      </w:pPr>
      <w:r>
        <w:rPr>
          <w:position w:val="-4"/>
        </w:rPr>
        <w:drawing>
          <wp:inline distT="0" distB="0" distL="0" distR="0">
            <wp:extent cx="240665" cy="1847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4">
                      <a:extLst>
                        <a:ext uri="{28A0092B-C50C-407E-A947-70E740481C1C}">
                          <a14:useLocalDpi xmlns:a14="http://schemas.microsoft.com/office/drawing/2010/main" val="0"/>
                        </a:ext>
                      </a:extLst>
                    </a:blip>
                    <a:srcRect/>
                    <a:stretch>
                      <a:fillRect/>
                    </a:stretch>
                  </pic:blipFill>
                  <pic:spPr bwMode="auto">
                    <a:xfrm>
                      <a:off x="0" y="0"/>
                      <a:ext cx="240665" cy="184785"/>
                    </a:xfrm>
                    <a:prstGeom prst="rect">
                      <a:avLst/>
                    </a:prstGeom>
                    <a:noFill/>
                    <a:ln>
                      <a:noFill/>
                    </a:ln>
                  </pic:spPr>
                </pic:pic>
              </a:graphicData>
            </a:graphic>
          </wp:inline>
        </w:drawing>
      </w:r>
      <w:r>
        <w:rPr>
          <w:sz w:val="20"/>
        </w:rPr>
        <w:t xml:space="preserve"> - норма часов педагогической работы воспитателя группы общеразвивающей направленности в неделю за ставку заработной платы в месяц;</w:t>
      </w:r>
    </w:p>
    <w:p>
      <w:pPr>
        <w:pStyle w:val="0"/>
        <w:spacing w:before="200" w:line-rule="auto"/>
        <w:ind w:firstLine="540"/>
        <w:jc w:val="both"/>
      </w:pPr>
      <w:r>
        <w:rPr>
          <w:position w:val="-3"/>
        </w:rPr>
        <w:drawing>
          <wp:inline distT="0" distB="0" distL="0" distR="0">
            <wp:extent cx="240665" cy="165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a:extLst>
                        <a:ext uri="{28A0092B-C50C-407E-A947-70E740481C1C}">
                          <a14:useLocalDpi xmlns:a14="http://schemas.microsoft.com/office/drawing/2010/main" val="0"/>
                        </a:ext>
                      </a:extLst>
                    </a:blip>
                    <a:srcRect/>
                    <a:stretch>
                      <a:fillRect/>
                    </a:stretch>
                  </pic:blipFill>
                  <pic:spPr bwMode="auto">
                    <a:xfrm>
                      <a:off x="0" y="0"/>
                      <a:ext cx="240665" cy="165100"/>
                    </a:xfrm>
                    <a:prstGeom prst="rect">
                      <a:avLst/>
                    </a:prstGeom>
                    <a:noFill/>
                    <a:ln>
                      <a:noFill/>
                    </a:ln>
                  </pic:spPr>
                </pic:pic>
              </a:graphicData>
            </a:graphic>
          </wp:inline>
        </w:drawing>
      </w:r>
      <w:r>
        <w:rPr>
          <w:sz w:val="20"/>
        </w:rPr>
        <w:t xml:space="preserve"> - повышающий коэффициент (повышение, установленное в процентах, в абсолютных величинах) за наличие квалификационной категории, применяемый к заработной плате, исчисленной с учетом фактического объема педагогической работы из размера ставки заработной платы, установленной по должности воспитателя по квалификационному уровню </w:t>
      </w:r>
      <w:hyperlink w:history="0" r:id="rId63"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При наличии оснований для применения других повышающих коэффициентов (повышений, установленных в процентах, в абсолютных величинах) к заработной плате, исчисленной за фактический объем педагогической работы, применяется сумма повышений по различным основаниям.</w:t>
      </w:r>
    </w:p>
    <w:p>
      <w:pPr>
        <w:pStyle w:val="0"/>
        <w:spacing w:before="200" w:line-rule="auto"/>
        <w:ind w:firstLine="540"/>
        <w:jc w:val="both"/>
      </w:pPr>
      <w:r>
        <w:rPr>
          <w:sz w:val="20"/>
        </w:rPr>
        <w:t xml:space="preserve">Предусмотренный в виде формулы порядок исчисления заработной платы воспитателей за фактический постоянный объем педагогической работы не применяется в случаях, когда выполнение воспитателями работы за пределами рабочего времени (смены) осуществляется не на постоянной основе, а по инициативе работодателя, которая квалифицируется как сверхурочная работа и относится к выполнению работ в условиях, отклоняющихся от нормальных условий. К такой работе, к примеру, могут быть отнесены случаи привлечения работодателем воспитателей дошкольных групп к работе сверх установленного рабочего времени (смены) при неявке сменяющего работника или родителей, то есть когда работник не может оставить рабочее место, в связи с чем выполняет педагогическую работу без перерыва после окончания смены. Указанная работа компенсируется в порядке, предусмотренном </w:t>
      </w:r>
      <w:hyperlink w:history="0" r:id="rId64" w:tooltip="&quot;Трудовой кодекс Российской Федерации&quot; от 30.12.2001 N 197-ФЗ (ред. от 04.08.2023) (с изм. и доп., вступ. в силу с 01.09.2023) {КонсультантПлюс}">
        <w:r>
          <w:rPr>
            <w:sz w:val="20"/>
            <w:color w:val="0000ff"/>
          </w:rPr>
          <w:t xml:space="preserve">статьей 152</w:t>
        </w:r>
      </w:hyperlink>
      <w:r>
        <w:rPr>
          <w:sz w:val="20"/>
        </w:rPr>
        <w:t xml:space="preserve"> Трудового кодекса Российской Федерации, то есть оплачивается за первые два часа работы не менее чем в полуторном размере, за последующие часы - не менее чем в двойном размере.</w:t>
      </w:r>
    </w:p>
    <w:p>
      <w:pPr>
        <w:pStyle w:val="0"/>
        <w:spacing w:before="200" w:line-rule="auto"/>
        <w:ind w:firstLine="540"/>
        <w:jc w:val="both"/>
      </w:pPr>
      <w:r>
        <w:rPr>
          <w:sz w:val="20"/>
        </w:rPr>
        <w:t xml:space="preserve">Пример N 3.</w:t>
      </w:r>
    </w:p>
    <w:p>
      <w:pPr>
        <w:pStyle w:val="0"/>
        <w:spacing w:before="200" w:line-rule="auto"/>
        <w:ind w:firstLine="540"/>
        <w:jc w:val="both"/>
      </w:pPr>
      <w:r>
        <w:rPr>
          <w:sz w:val="20"/>
        </w:rPr>
        <w:t xml:space="preserve">Музыкальный руководитель, имеющий высшую квалификационную категорию, с его письменного согласия работает с 8 группами детей в организации, реализующей дошкольную образовательную программу. Если при определении численности музыкальных руководителей применяются нормативы по определению численности персонала, занятого обслуживанием дошкольных учреждений (ясли, ясли-сады, детские сады), утвержденные постановлением Минтруда России от 21 апреля 1993 г. N 88, то в соответствии с ними на каждую группу детей организация предусматривает по 0,25 единицы должности музыкального руководителя.</w:t>
      </w:r>
    </w:p>
    <w:p>
      <w:pPr>
        <w:pStyle w:val="0"/>
        <w:spacing w:before="200" w:line-rule="auto"/>
        <w:ind w:firstLine="540"/>
        <w:jc w:val="both"/>
      </w:pPr>
      <w:r>
        <w:rPr>
          <w:sz w:val="20"/>
        </w:rPr>
        <w:t xml:space="preserve">Исходя из того, что 1 должность музыкального руководителя согласно указанным нормативам устанавливается на каждые 4 группы, то общий объем педагогической работы для музыкальных руководителей на 8 групп составит 48 часов в неделю (24 ч [норма часов за ставку заработной платы музыкального руководителя в неделю] : на 4 [количество групп на 1 должность музыкального руководителя) = 6 ч (количество часов работы музыкального руководителя в неделю с каждой группой] X на 8 [количество групп в организации]).</w:t>
      </w:r>
    </w:p>
    <w:p>
      <w:pPr>
        <w:pStyle w:val="0"/>
        <w:spacing w:before="200" w:line-rule="auto"/>
        <w:ind w:firstLine="540"/>
        <w:jc w:val="both"/>
      </w:pPr>
      <w:r>
        <w:rPr>
          <w:sz w:val="20"/>
        </w:rPr>
        <w:t xml:space="preserve">Если музыкальный руководитель с его согласия работает один со всеми 8-ю группами, то месячная оплата этого музыкального руководителя за всю педагогическую работу должна быть рассчитана путем умножения размера ставки заработной платы, установленной по должности музыкального руководителя по квалификационному уровню </w:t>
      </w:r>
      <w:hyperlink w:history="0" r:id="rId65"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на 48 (фактический недельный объем педагогической работы), деления полученного результата на 24 (норма часов педагогической работы в неделю, за которую музыкальному руководителю выплачивается ставка заработной платы) и умножения полученного результата на повышающий коэффициент (повышение, установленное в процентах, в абсолютных величинах) за наличие квалификационной категории, применяемый к заработного плате, исчисленной с учетом фактического объема педагогической работы из размера ставки, установленной по квалификационному уровню </w:t>
      </w:r>
      <w:hyperlink w:history="0" r:id="rId66"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При наличии оснований для применения других повышающих коэффициентов (повышений, установленных в процентах, в абсолютных величинах) к заработной плате, исчисленной за фактический объем педагогической работы, применяется сумма повышений по различным основаниям.</w:t>
      </w:r>
    </w:p>
    <w:p>
      <w:pPr>
        <w:pStyle w:val="0"/>
        <w:spacing w:before="200" w:line-rule="auto"/>
        <w:ind w:firstLine="540"/>
        <w:jc w:val="both"/>
      </w:pPr>
      <w:r>
        <w:rPr>
          <w:sz w:val="20"/>
        </w:rPr>
        <w:t xml:space="preserve">Месячный заработок этого музыкального руководителя за фактический объем педагогической работы будет исчисляться по следующей формуле:</w:t>
      </w:r>
    </w:p>
    <w:p>
      <w:pPr>
        <w:pStyle w:val="0"/>
        <w:jc w:val="both"/>
      </w:pPr>
      <w:r>
        <w:rPr>
          <w:sz w:val="20"/>
        </w:rPr>
      </w:r>
    </w:p>
    <w:p>
      <w:pPr>
        <w:pStyle w:val="0"/>
        <w:ind w:firstLine="540"/>
        <w:jc w:val="both"/>
      </w:pPr>
      <w:r>
        <w:rPr>
          <w:position w:val="-21"/>
        </w:rPr>
        <w:drawing>
          <wp:inline distT="0" distB="0" distL="0" distR="0">
            <wp:extent cx="1266825" cy="3943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9">
                      <a:extLst>
                        <a:ext uri="{28A0092B-C50C-407E-A947-70E740481C1C}">
                          <a14:useLocalDpi xmlns:a14="http://schemas.microsoft.com/office/drawing/2010/main" val="0"/>
                        </a:ext>
                      </a:extLst>
                    </a:blip>
                    <a:srcRect/>
                    <a:stretch>
                      <a:fillRect/>
                    </a:stretch>
                  </pic:blipFill>
                  <pic:spPr bwMode="auto">
                    <a:xfrm>
                      <a:off x="0" y="0"/>
                      <a:ext cx="1266825" cy="394335"/>
                    </a:xfrm>
                    <a:prstGeom prst="rect">
                      <a:avLst/>
                    </a:prstGeom>
                    <a:noFill/>
                    <a:ln>
                      <a:noFill/>
                    </a:ln>
                  </pic:spPr>
                </pic:pic>
              </a:graphicData>
            </a:graphic>
          </wp:inline>
        </w:drawing>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6"/>
        </w:rPr>
        <w:drawing>
          <wp:inline distT="0" distB="0" distL="0" distR="0">
            <wp:extent cx="342900" cy="2038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0">
                      <a:extLst>
                        <a:ext uri="{28A0092B-C50C-407E-A947-70E740481C1C}">
                          <a14:useLocalDpi xmlns:a14="http://schemas.microsoft.com/office/drawing/2010/main" val="0"/>
                        </a:ext>
                      </a:extLst>
                    </a:blip>
                    <a:srcRect/>
                    <a:stretch>
                      <a:fillRect/>
                    </a:stretch>
                  </pic:blipFill>
                  <pic:spPr bwMode="auto">
                    <a:xfrm>
                      <a:off x="0" y="0"/>
                      <a:ext cx="342900" cy="203835"/>
                    </a:xfrm>
                    <a:prstGeom prst="rect">
                      <a:avLst/>
                    </a:prstGeom>
                    <a:noFill/>
                    <a:ln>
                      <a:noFill/>
                    </a:ln>
                  </pic:spPr>
                </pic:pic>
              </a:graphicData>
            </a:graphic>
          </wp:inline>
        </w:drawing>
      </w:r>
      <w:r>
        <w:rPr>
          <w:sz w:val="20"/>
        </w:rPr>
        <w:t xml:space="preserve"> - заработная плата музыкального руководителя в месяц, исчисленная исходя из фактического объема педагогической работы в неделю;</w:t>
      </w:r>
    </w:p>
    <w:p>
      <w:pPr>
        <w:pStyle w:val="0"/>
        <w:spacing w:before="200" w:line-rule="auto"/>
        <w:ind w:firstLine="540"/>
        <w:jc w:val="both"/>
      </w:pPr>
      <w:r>
        <w:rPr>
          <w:position w:val="-4"/>
        </w:rPr>
        <w:drawing>
          <wp:inline distT="0" distB="0" distL="0" distR="0">
            <wp:extent cx="259715" cy="1847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a:extLst>
                        <a:ext uri="{28A0092B-C50C-407E-A947-70E740481C1C}">
                          <a14:useLocalDpi xmlns:a14="http://schemas.microsoft.com/office/drawing/2010/main" val="0"/>
                        </a:ext>
                      </a:extLst>
                    </a:blip>
                    <a:srcRect/>
                    <a:stretch>
                      <a:fillRect/>
                    </a:stretch>
                  </pic:blipFill>
                  <pic:spPr bwMode="auto">
                    <a:xfrm>
                      <a:off x="0" y="0"/>
                      <a:ext cx="259715" cy="184785"/>
                    </a:xfrm>
                    <a:prstGeom prst="rect">
                      <a:avLst/>
                    </a:prstGeom>
                    <a:noFill/>
                    <a:ln>
                      <a:noFill/>
                    </a:ln>
                  </pic:spPr>
                </pic:pic>
              </a:graphicData>
            </a:graphic>
          </wp:inline>
        </w:drawing>
      </w:r>
      <w:r>
        <w:rPr>
          <w:sz w:val="20"/>
        </w:rPr>
        <w:t xml:space="preserve"> - размер ставки заработной платы музыкального руководителя в месяц, установленный за норму часов педагогической работы в неделю;</w:t>
      </w:r>
    </w:p>
    <w:p>
      <w:pPr>
        <w:pStyle w:val="0"/>
        <w:spacing w:before="200" w:line-rule="auto"/>
        <w:ind w:firstLine="540"/>
        <w:jc w:val="both"/>
      </w:pPr>
      <w:r>
        <w:rPr>
          <w:position w:val="-4"/>
        </w:rPr>
        <w:drawing>
          <wp:inline distT="0" distB="0" distL="0" distR="0">
            <wp:extent cx="240665" cy="1847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2">
                      <a:extLst>
                        <a:ext uri="{28A0092B-C50C-407E-A947-70E740481C1C}">
                          <a14:useLocalDpi xmlns:a14="http://schemas.microsoft.com/office/drawing/2010/main" val="0"/>
                        </a:ext>
                      </a:extLst>
                    </a:blip>
                    <a:srcRect/>
                    <a:stretch>
                      <a:fillRect/>
                    </a:stretch>
                  </pic:blipFill>
                  <pic:spPr bwMode="auto">
                    <a:xfrm>
                      <a:off x="0" y="0"/>
                      <a:ext cx="240665" cy="184785"/>
                    </a:xfrm>
                    <a:prstGeom prst="rect">
                      <a:avLst/>
                    </a:prstGeom>
                    <a:noFill/>
                    <a:ln>
                      <a:noFill/>
                    </a:ln>
                  </pic:spPr>
                </pic:pic>
              </a:graphicData>
            </a:graphic>
          </wp:inline>
        </w:drawing>
      </w:r>
      <w:r>
        <w:rPr>
          <w:sz w:val="20"/>
        </w:rPr>
        <w:t xml:space="preserve"> - фактический объем педагогической работы музыкального руководителя в неделю;</w:t>
      </w:r>
    </w:p>
    <w:p>
      <w:pPr>
        <w:pStyle w:val="0"/>
        <w:spacing w:before="200" w:line-rule="auto"/>
        <w:ind w:firstLine="540"/>
        <w:jc w:val="both"/>
      </w:pPr>
      <w:r>
        <w:rPr>
          <w:position w:val="-4"/>
        </w:rPr>
        <w:drawing>
          <wp:inline distT="0" distB="0" distL="0" distR="0">
            <wp:extent cx="240665" cy="1847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4">
                      <a:extLst>
                        <a:ext uri="{28A0092B-C50C-407E-A947-70E740481C1C}">
                          <a14:useLocalDpi xmlns:a14="http://schemas.microsoft.com/office/drawing/2010/main" val="0"/>
                        </a:ext>
                      </a:extLst>
                    </a:blip>
                    <a:srcRect/>
                    <a:stretch>
                      <a:fillRect/>
                    </a:stretch>
                  </pic:blipFill>
                  <pic:spPr bwMode="auto">
                    <a:xfrm>
                      <a:off x="0" y="0"/>
                      <a:ext cx="240665" cy="184785"/>
                    </a:xfrm>
                    <a:prstGeom prst="rect">
                      <a:avLst/>
                    </a:prstGeom>
                    <a:noFill/>
                    <a:ln>
                      <a:noFill/>
                    </a:ln>
                  </pic:spPr>
                </pic:pic>
              </a:graphicData>
            </a:graphic>
          </wp:inline>
        </w:drawing>
      </w:r>
      <w:r>
        <w:rPr>
          <w:sz w:val="20"/>
        </w:rPr>
        <w:t xml:space="preserve"> - норма часов педагогической работы музыкального руководителя в неделю за ставку заработной платы в месяц;</w:t>
      </w:r>
    </w:p>
    <w:p>
      <w:pPr>
        <w:pStyle w:val="0"/>
        <w:spacing w:before="200" w:line-rule="auto"/>
        <w:ind w:firstLine="540"/>
        <w:jc w:val="both"/>
      </w:pPr>
      <w:r>
        <w:rPr>
          <w:position w:val="-3"/>
        </w:rPr>
        <w:drawing>
          <wp:inline distT="0" distB="0" distL="0" distR="0">
            <wp:extent cx="240665" cy="165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a:extLst>
                        <a:ext uri="{28A0092B-C50C-407E-A947-70E740481C1C}">
                          <a14:useLocalDpi xmlns:a14="http://schemas.microsoft.com/office/drawing/2010/main" val="0"/>
                        </a:ext>
                      </a:extLst>
                    </a:blip>
                    <a:srcRect/>
                    <a:stretch>
                      <a:fillRect/>
                    </a:stretch>
                  </pic:blipFill>
                  <pic:spPr bwMode="auto">
                    <a:xfrm>
                      <a:off x="0" y="0"/>
                      <a:ext cx="240665" cy="165100"/>
                    </a:xfrm>
                    <a:prstGeom prst="rect">
                      <a:avLst/>
                    </a:prstGeom>
                    <a:noFill/>
                    <a:ln>
                      <a:noFill/>
                    </a:ln>
                  </pic:spPr>
                </pic:pic>
              </a:graphicData>
            </a:graphic>
          </wp:inline>
        </w:drawing>
      </w:r>
      <w:r>
        <w:rPr>
          <w:sz w:val="20"/>
        </w:rPr>
        <w:t xml:space="preserve"> - повышающий коэффициент (повышение, установленное в процентах, в абсолютных величинах) за наличие квалификационной категории, применяемый к заработной плате, исчисленной с учетом фактического объема педагогической работы из размера ставки заработной платы, установленной по должности музыкального руководителя по квалификационному уровню </w:t>
      </w:r>
      <w:hyperlink w:history="0" r:id="rId67"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При наличии оснований для применения других повышающих коэффициентов (повышений, установленных в процентах, в абсолютных величинах) к заработной плате, исчисленной за фактический объем педагогической работы, применяется сумма повышений по различным основаниям.</w:t>
      </w:r>
    </w:p>
    <w:p>
      <w:pPr>
        <w:pStyle w:val="0"/>
        <w:spacing w:before="200" w:line-rule="auto"/>
        <w:ind w:firstLine="540"/>
        <w:jc w:val="both"/>
      </w:pPr>
      <w:r>
        <w:rPr>
          <w:sz w:val="20"/>
        </w:rPr>
        <w:t xml:space="preserve">3.5. Ставки заработной платы, установленные за 18 часов преподавательской работы в неделю, являющиеся нормируемой частью педагогической работы, выплачиваются педагогическим работникам с учетом выполнения ими другой части педагогической работы, входящей в их должностные обязанности в соответствии с </w:t>
      </w:r>
      <w:hyperlink w:history="0" r:id="rId68" w:tooltip="Приказ Минздравсоцразвития РФ от 26.08.2010 N 761н (ред. от 31.05.2011)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аботников образования&quot; (Зарегистрировано в Минюсте РФ 06.10.2010 N 18638) {КонсультантПлюс}">
        <w:r>
          <w:rPr>
            <w:sz w:val="20"/>
            <w:color w:val="0000ff"/>
          </w:rPr>
          <w:t xml:space="preserve">квалификационными характеристиками</w:t>
        </w:r>
      </w:hyperlink>
      <w:r>
        <w:rPr>
          <w:sz w:val="20"/>
        </w:rPr>
        <w:t xml:space="preserve">.</w:t>
      </w:r>
    </w:p>
    <w:p>
      <w:pPr>
        <w:pStyle w:val="0"/>
        <w:spacing w:before="200" w:line-rule="auto"/>
        <w:ind w:firstLine="540"/>
        <w:jc w:val="both"/>
      </w:pPr>
      <w:r>
        <w:rPr>
          <w:sz w:val="20"/>
        </w:rPr>
        <w:t xml:space="preserve">3.6. Оплата труда мастеров производственного обучения организаций осуществляется на основе должностных окладов в соответствии с </w:t>
      </w:r>
      <w:hyperlink w:history="0" w:anchor="P66" w:tooltip="2.5. Оплату труда педагогических работников, для которых пунктами 2.3 - 2.8 приложения 1 к приказу Минобрнауки России N 1601 предусмотрены нормы часов педагогической работы за ставку заработной платы в неделю (в год), рекомендуется осуществлять на основе ставок заработной платы, размеры которых устанавливаются организацией не ниже минимальных размеров ставок заработной платы по квалификационным уровням ПКГ, устанавливаемых органами государственной власти субъектов Российской Федерации, органами местного ...">
        <w:r>
          <w:rPr>
            <w:sz w:val="20"/>
            <w:color w:val="0000ff"/>
          </w:rPr>
          <w:t xml:space="preserve">пунктом 2.5</w:t>
        </w:r>
      </w:hyperlink>
      <w:r>
        <w:rPr>
          <w:sz w:val="20"/>
        </w:rPr>
        <w:t xml:space="preserve"> настоящих Методических рекомендаций. Должностные обязанности мастера производственного обучения в пределах 36-часовой рабочей недели определяются в соответствии с тарифно-квалификационной характеристикой.</w:t>
      </w:r>
    </w:p>
    <w:p>
      <w:pPr>
        <w:pStyle w:val="0"/>
        <w:spacing w:before="200" w:line-rule="auto"/>
        <w:ind w:firstLine="540"/>
        <w:jc w:val="both"/>
      </w:pPr>
      <w:r>
        <w:rPr>
          <w:sz w:val="20"/>
        </w:rPr>
        <w:t xml:space="preserve">Мастерам производственного обучения, выполняющим наряду со своей основной работой, обусловленной трудовым договором, дополнительную работу в той же общеобразовательной организации по другой аналогичной должности (полностью или частично), в том числе в связи с временным отсутствием работника, производится доплата в порядке, установленном </w:t>
      </w:r>
      <w:hyperlink w:history="0" r:id="rId69" w:tooltip="&quot;Трудовой кодекс Российской Федерации&quot; от 30.12.2001 N 197-ФЗ (ред. от 04.08.2023) (с изм. и доп., вступ. в силу с 01.09.2023) {КонсультантПлюс}">
        <w:r>
          <w:rPr>
            <w:sz w:val="20"/>
            <w:color w:val="0000ff"/>
          </w:rPr>
          <w:t xml:space="preserve">статьей 151</w:t>
        </w:r>
      </w:hyperlink>
      <w:r>
        <w:rPr>
          <w:sz w:val="20"/>
        </w:rPr>
        <w:t xml:space="preserve"> Трудового Кодекса, при совмещении профессий (должностей) или исполнении обязанностей временно отсутствующего работника. Размеры доплат устанавливаются по соглашению сторон трудового договора.</w:t>
      </w:r>
    </w:p>
    <w:p>
      <w:pPr>
        <w:pStyle w:val="0"/>
        <w:jc w:val="both"/>
      </w:pPr>
      <w:r>
        <w:rPr>
          <w:sz w:val="20"/>
        </w:rPr>
      </w:r>
    </w:p>
    <w:p>
      <w:pPr>
        <w:pStyle w:val="2"/>
        <w:outlineLvl w:val="1"/>
        <w:jc w:val="center"/>
      </w:pPr>
      <w:r>
        <w:rPr>
          <w:sz w:val="20"/>
        </w:rPr>
        <w:t xml:space="preserve">IV. Выплаты компенсационного характера</w:t>
      </w:r>
    </w:p>
    <w:p>
      <w:pPr>
        <w:pStyle w:val="0"/>
        <w:jc w:val="both"/>
      </w:pPr>
      <w:r>
        <w:rPr>
          <w:sz w:val="20"/>
        </w:rPr>
      </w:r>
    </w:p>
    <w:p>
      <w:pPr>
        <w:pStyle w:val="0"/>
        <w:ind w:firstLine="540"/>
        <w:jc w:val="both"/>
      </w:pPr>
      <w:r>
        <w:rPr>
          <w:sz w:val="20"/>
        </w:rPr>
        <w:t xml:space="preserve">4.1. При установлении системы оплаты труда в организации рекомендуется предусмотреть все виды выплат компенсационного характера, предусмотренные законодательством Российской Федерации, применяемые к соответствующей организации.</w:t>
      </w:r>
    </w:p>
    <w:p>
      <w:pPr>
        <w:pStyle w:val="0"/>
        <w:spacing w:before="200" w:line-rule="auto"/>
        <w:ind w:firstLine="540"/>
        <w:jc w:val="both"/>
      </w:pPr>
      <w:r>
        <w:rPr>
          <w:sz w:val="20"/>
        </w:rPr>
        <w:t xml:space="preserve">4.2. Выплаты работникам, занятым на работах с вредными и (или) опасными условиями труда.</w:t>
      </w:r>
    </w:p>
    <w:p>
      <w:pPr>
        <w:pStyle w:val="0"/>
        <w:spacing w:before="200" w:line-rule="auto"/>
        <w:ind w:firstLine="540"/>
        <w:jc w:val="both"/>
      </w:pPr>
      <w:r>
        <w:rPr>
          <w:sz w:val="20"/>
        </w:rPr>
        <w:t xml:space="preserve">Выплата компенсационного характера работникам, занятым на рабочих местах с вредными и (или) опасными условиями труда, устанавливается в порядке, определенном законодательством Российской Федерации на основании специальной оценки условий труда в соответствии с Федеральным </w:t>
      </w:r>
      <w:hyperlink w:history="0" r:id="rId70"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законом</w:t>
        </w:r>
      </w:hyperlink>
      <w:r>
        <w:rPr>
          <w:sz w:val="20"/>
        </w:rPr>
        <w:t xml:space="preserve"> от 28 декабря 2013 г. N 426-ФЗ "О специальной оценке условий труда" с целью обеспечения безопасности работников в процессе их трудовой деятельности и реализации прав работников на рабочие места, соответствующие государственным нормативным требованиям охраны труда. Выплата компенсационного характера за работы с вредными и (или) опасными условиями труда устанавливается в размере не менее 4 процентов от оклада (должностного оклада) работника.</w:t>
      </w:r>
    </w:p>
    <w:p>
      <w:pPr>
        <w:pStyle w:val="0"/>
        <w:spacing w:before="200" w:line-rule="auto"/>
        <w:ind w:firstLine="540"/>
        <w:jc w:val="both"/>
      </w:pPr>
      <w:r>
        <w:rPr>
          <w:sz w:val="20"/>
        </w:rPr>
        <w:t xml:space="preserve">Работодателям рекомендуется принимать меры по улучшению условий труда работников с учетом результатов специальной оценки условий труда.</w:t>
      </w:r>
    </w:p>
    <w:p>
      <w:pPr>
        <w:pStyle w:val="0"/>
        <w:spacing w:before="200" w:line-rule="auto"/>
        <w:ind w:firstLine="540"/>
        <w:jc w:val="both"/>
      </w:pPr>
      <w:r>
        <w:rPr>
          <w:sz w:val="20"/>
        </w:rPr>
        <w:t xml:space="preserve">4.3. Выплаты за работу в местностях с особыми климатическими условиями.</w:t>
      </w:r>
    </w:p>
    <w:p>
      <w:pPr>
        <w:pStyle w:val="0"/>
        <w:spacing w:before="200" w:line-rule="auto"/>
        <w:ind w:firstLine="540"/>
        <w:jc w:val="both"/>
      </w:pPr>
      <w:r>
        <w:rPr>
          <w:sz w:val="20"/>
        </w:rPr>
        <w:t xml:space="preserve">Размеры </w:t>
      </w:r>
      <w:hyperlink w:history="0" r:id="rId71"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районных коэффициентов</w:t>
        </w:r>
      </w:hyperlink>
      <w:r>
        <w:rPr>
          <w:sz w:val="20"/>
        </w:rPr>
        <w:t xml:space="preserve"> (коэффициентов) и порядок их применения для расчета заработной платы работников организаций, расположенных в местностях с особыми климатическими условиями, а также размеры процентных надбавок к заработной плате работников за стаж работы в указанных местностях и порядок их выплаты, устанавливаемые Правительством Российской Федерации, применяются организациями, расположенными в соответствующих местностях.</w:t>
      </w:r>
    </w:p>
    <w:p>
      <w:pPr>
        <w:pStyle w:val="0"/>
        <w:spacing w:before="200" w:line-rule="auto"/>
        <w:ind w:firstLine="540"/>
        <w:jc w:val="both"/>
      </w:pPr>
      <w:r>
        <w:rPr>
          <w:sz w:val="20"/>
        </w:rPr>
        <w:t xml:space="preserve">Более высокие размеры </w:t>
      </w:r>
      <w:hyperlink w:history="0" r:id="rId72" w:tooltip="Справочная информация: &quot;Районные коэффициенты и процентные надбавки, установленные для государственных органов и учреждений субъектов Российской Федерации, органов местного самоуправления и муниципальных учреждений&quot; (Материал подготовлен специалистами КонсультантПлюс) {КонсультантПлюс}">
        <w:r>
          <w:rPr>
            <w:sz w:val="20"/>
            <w:color w:val="0000ff"/>
          </w:rPr>
          <w:t xml:space="preserve">районных коэффициентов</w:t>
        </w:r>
      </w:hyperlink>
      <w:r>
        <w:rPr>
          <w:sz w:val="20"/>
        </w:rPr>
        <w:t xml:space="preserve"> для государственных учреждений субъектов Российской Федерации, муниципальных учреждений могут устанавливаться, если такие решения приняты органами государственной власти или органами местного самоуправления за счет средств соответственно бюджетов субъектов Российской Федерации и бюджетов муниципальных образований.</w:t>
      </w:r>
    </w:p>
    <w:p>
      <w:pPr>
        <w:pStyle w:val="0"/>
        <w:spacing w:before="200" w:line-rule="auto"/>
        <w:ind w:firstLine="540"/>
        <w:jc w:val="both"/>
      </w:pPr>
      <w:r>
        <w:rPr>
          <w:sz w:val="20"/>
        </w:rPr>
        <w:t xml:space="preserve">4.4. Выплаты за выполнение сверхурочных работ.</w:t>
      </w:r>
    </w:p>
    <w:p>
      <w:pPr>
        <w:pStyle w:val="0"/>
        <w:spacing w:before="200" w:line-rule="auto"/>
        <w:ind w:firstLine="540"/>
        <w:jc w:val="both"/>
      </w:pPr>
      <w:r>
        <w:rPr>
          <w:sz w:val="20"/>
        </w:rPr>
        <w:t xml:space="preserve">Сверхурочная работа оплачивается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pPr>
        <w:pStyle w:val="0"/>
        <w:spacing w:before="200" w:line-rule="auto"/>
        <w:ind w:firstLine="540"/>
        <w:jc w:val="both"/>
      </w:pPr>
      <w:r>
        <w:rPr>
          <w:sz w:val="20"/>
        </w:rPr>
        <w:t xml:space="preserve">4.5. Оплата за работу в ночное время.</w:t>
      </w:r>
    </w:p>
    <w:p>
      <w:pPr>
        <w:pStyle w:val="0"/>
        <w:spacing w:before="200" w:line-rule="auto"/>
        <w:ind w:firstLine="540"/>
        <w:jc w:val="both"/>
      </w:pPr>
      <w:r>
        <w:rPr>
          <w:sz w:val="20"/>
        </w:rPr>
        <w:t xml:space="preserve">Доплата за работу в ночное время производится работникам организаций за каждый час работы в ночное время (с 22 часов до 6 часов).</w:t>
      </w:r>
    </w:p>
    <w:p>
      <w:pPr>
        <w:pStyle w:val="0"/>
        <w:spacing w:before="200" w:line-rule="auto"/>
        <w:ind w:firstLine="540"/>
        <w:jc w:val="both"/>
      </w:pPr>
      <w:r>
        <w:rPr>
          <w:sz w:val="20"/>
        </w:rPr>
        <w:t xml:space="preserve">Размеры оплаты труда за работу в ночное время работникам организаций устанавливаются коллективными договорами, локальными нормативными актами, принимаемыми с учетом мнения представительного органа работников, трудовыми договорами и не могут быть снижены по сравнению с размерами и условиями, установленными трудовым законодательством, иными нормативными правовыми актами Российской Федерации, содержащими нормы трудового права, а также отраслевым соглашением, заключаемым в установленном порядке, предусматривающим оплату труда за каждый час работы в ночное время в размере не ниже 35 процентов часовой тарифной ставки (части оклада (должностного оклада).</w:t>
      </w:r>
    </w:p>
    <w:p>
      <w:pPr>
        <w:pStyle w:val="0"/>
        <w:spacing w:before="200" w:line-rule="auto"/>
        <w:ind w:firstLine="540"/>
        <w:jc w:val="both"/>
      </w:pPr>
      <w:r>
        <w:rPr>
          <w:sz w:val="20"/>
        </w:rPr>
        <w:t xml:space="preserve">4.6. Оплата за работу в выходные и нерабочие праздничные дни.</w:t>
      </w:r>
    </w:p>
    <w:p>
      <w:pPr>
        <w:pStyle w:val="0"/>
        <w:spacing w:before="200" w:line-rule="auto"/>
        <w:ind w:firstLine="540"/>
        <w:jc w:val="both"/>
      </w:pPr>
      <w:r>
        <w:rPr>
          <w:sz w:val="20"/>
        </w:rPr>
        <w:t xml:space="preserve">Работа в выходной или нерабочий праздничный день оплачивается не менее чем в двойном размере:</w:t>
      </w:r>
    </w:p>
    <w:p>
      <w:pPr>
        <w:pStyle w:val="0"/>
        <w:spacing w:before="200" w:line-rule="auto"/>
        <w:ind w:firstLine="540"/>
        <w:jc w:val="both"/>
      </w:pPr>
      <w:r>
        <w:rPr>
          <w:sz w:val="20"/>
        </w:rPr>
        <w:t xml:space="preserve">сдельщикам - не менее чем по двойным сдельным расценкам;</w:t>
      </w:r>
    </w:p>
    <w:p>
      <w:pPr>
        <w:pStyle w:val="0"/>
        <w:spacing w:before="200" w:line-rule="auto"/>
        <w:ind w:firstLine="540"/>
        <w:jc w:val="both"/>
      </w:pPr>
      <w:r>
        <w:rPr>
          <w:sz w:val="20"/>
        </w:rPr>
        <w:t xml:space="preserve">работникам, труд которых оплачивается по дневным и часовым тарифным ставкам, - в размере не менее двойной дневной или часовой тарифной ставки;</w:t>
      </w:r>
    </w:p>
    <w:p>
      <w:pPr>
        <w:pStyle w:val="0"/>
        <w:spacing w:before="200" w:line-rule="auto"/>
        <w:ind w:firstLine="540"/>
        <w:jc w:val="both"/>
      </w:pPr>
      <w:r>
        <w:rPr>
          <w:sz w:val="20"/>
        </w:rPr>
        <w:t xml:space="preserve">работникам, получающим оклад (должностной оклад), - в размере не менее одинарной дневной или часовой ставки (части оклада (должностного оклада) за день или час работы) сверх оклада (должностного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сверх оклада (должностного оклада), если работа производилась сверх месячной нормы рабочего времени.</w:t>
      </w:r>
    </w:p>
    <w:p>
      <w:pPr>
        <w:pStyle w:val="0"/>
        <w:spacing w:before="200" w:line-rule="auto"/>
        <w:ind w:firstLine="540"/>
        <w:jc w:val="both"/>
      </w:pPr>
      <w:r>
        <w:rPr>
          <w:sz w:val="20"/>
        </w:rPr>
        <w:t xml:space="preserve">Конкретные размеры оплаты за работу в выходной или нерабочий праздничный день могут устанавливаться коллективным договором, локальным нормативным актом, принимаемым с учетом мнения представительного органа работников, трудовым договором.</w:t>
      </w:r>
    </w:p>
    <w:p>
      <w:pPr>
        <w:pStyle w:val="0"/>
        <w:spacing w:before="200" w:line-rule="auto"/>
        <w:ind w:firstLine="540"/>
        <w:jc w:val="both"/>
      </w:pPr>
      <w:r>
        <w:rPr>
          <w:sz w:val="20"/>
        </w:rPr>
        <w:t xml:space="preserve">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pPr>
        <w:pStyle w:val="0"/>
        <w:spacing w:before="200" w:line-rule="auto"/>
        <w:ind w:firstLine="540"/>
        <w:jc w:val="both"/>
      </w:pPr>
      <w:r>
        <w:rPr>
          <w:sz w:val="20"/>
        </w:rPr>
        <w:t xml:space="preserve">4.7. Оплата за выполнение работ различной квалификации.</w:t>
      </w:r>
    </w:p>
    <w:p>
      <w:pPr>
        <w:pStyle w:val="0"/>
        <w:spacing w:before="200" w:line-rule="auto"/>
        <w:ind w:firstLine="540"/>
        <w:jc w:val="both"/>
      </w:pPr>
      <w:r>
        <w:rPr>
          <w:sz w:val="20"/>
        </w:rPr>
        <w:t xml:space="preserve">При выполнении работником с повременной оплатой труда работ различной квалификации его труд оплачивается как при работе более высокой квалификации.</w:t>
      </w:r>
    </w:p>
    <w:p>
      <w:pPr>
        <w:pStyle w:val="0"/>
        <w:spacing w:before="200" w:line-rule="auto"/>
        <w:ind w:firstLine="540"/>
        <w:jc w:val="both"/>
      </w:pPr>
      <w:r>
        <w:rPr>
          <w:sz w:val="20"/>
        </w:rPr>
        <w:t xml:space="preserve">При выполнении работником со сдельной оплатой труда работ различной квалификации его труд оплачивается по расценкам выполняемой им работы.</w:t>
      </w:r>
    </w:p>
    <w:p>
      <w:pPr>
        <w:pStyle w:val="0"/>
        <w:spacing w:before="200" w:line-rule="auto"/>
        <w:ind w:firstLine="540"/>
        <w:jc w:val="both"/>
      </w:pPr>
      <w:r>
        <w:rPr>
          <w:sz w:val="20"/>
        </w:rPr>
        <w:t xml:space="preserve">В случаях, когда с учетом характера производства работникам со сдельной оплатой труда поручается выполнение работ, тарифицируемых ниже присвоенных им разрядов, работодатель обязан выплатить им межразрядную разницу.</w:t>
      </w:r>
    </w:p>
    <w:p>
      <w:pPr>
        <w:pStyle w:val="0"/>
        <w:spacing w:before="200" w:line-rule="auto"/>
        <w:ind w:firstLine="540"/>
        <w:jc w:val="both"/>
      </w:pPr>
      <w:r>
        <w:rPr>
          <w:sz w:val="20"/>
        </w:rPr>
        <w:t xml:space="preserve">4.8. Оплата труда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pPr>
        <w:pStyle w:val="0"/>
        <w:spacing w:before="200" w:line-rule="auto"/>
        <w:ind w:firstLine="540"/>
        <w:jc w:val="both"/>
      </w:pPr>
      <w:r>
        <w:rPr>
          <w:sz w:val="20"/>
        </w:rPr>
        <w:t xml:space="preserve">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w:t>
      </w:r>
    </w:p>
    <w:p>
      <w:pPr>
        <w:pStyle w:val="0"/>
        <w:spacing w:before="200" w:line-rule="auto"/>
        <w:ind w:firstLine="540"/>
        <w:jc w:val="both"/>
      </w:pPr>
      <w:r>
        <w:rPr>
          <w:sz w:val="20"/>
        </w:rPr>
        <w:t xml:space="preserve">Размер доплаты устанавливается по соглашению сторон трудового договора с учетом содержания и (или) объема дополнительной работы.</w:t>
      </w:r>
    </w:p>
    <w:p>
      <w:pPr>
        <w:pStyle w:val="0"/>
        <w:spacing w:before="200" w:line-rule="auto"/>
        <w:ind w:firstLine="540"/>
        <w:jc w:val="both"/>
      </w:pPr>
      <w:r>
        <w:rPr>
          <w:sz w:val="20"/>
        </w:rPr>
        <w:t xml:space="preserve">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 осуществляется по поручению работодателя с письменного согласия работника.</w:t>
      </w:r>
    </w:p>
    <w:p>
      <w:pPr>
        <w:pStyle w:val="0"/>
        <w:spacing w:before="200" w:line-rule="auto"/>
        <w:ind w:firstLine="540"/>
        <w:jc w:val="both"/>
      </w:pPr>
      <w:r>
        <w:rPr>
          <w:sz w:val="20"/>
        </w:rPr>
        <w:t xml:space="preserve">Поручаемая работнику дополнительная работа по другой профессии (должности) может осуществляться путем совмещения профессий (должностей). Поручаемая работнику дополнительная работа по такой же профессии (должности) может осуществляться путем расширения зон обслуживания, увеличения объема работ. Для исполнения обязанностей временно отсутствующего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профессии (должности).</w:t>
      </w:r>
    </w:p>
    <w:p>
      <w:pPr>
        <w:pStyle w:val="0"/>
        <w:spacing w:before="200" w:line-rule="auto"/>
        <w:ind w:firstLine="540"/>
        <w:jc w:val="both"/>
      </w:pPr>
      <w:r>
        <w:rPr>
          <w:sz w:val="20"/>
        </w:rPr>
        <w:t xml:space="preserve">Срок, в течение которого работник будет выполнять дополнительную работу, ее содержание и объем устанавливаются работодателем с письменного согласия работника.</w:t>
      </w:r>
    </w:p>
    <w:p>
      <w:pPr>
        <w:pStyle w:val="0"/>
        <w:spacing w:before="200" w:line-rule="auto"/>
        <w:ind w:firstLine="540"/>
        <w:jc w:val="both"/>
      </w:pPr>
      <w:r>
        <w:rPr>
          <w:sz w:val="20"/>
        </w:rPr>
        <w:t xml:space="preserve">Работник имеет право досрочно отказаться от выполнения дополнительной работы, а работодатель - досрочно отменить поручение о ее выполнении, предупредив об этом другую сторону в письменной форме не позднее, чем за три рабочих дня.</w:t>
      </w:r>
    </w:p>
    <w:p>
      <w:pPr>
        <w:pStyle w:val="0"/>
        <w:spacing w:before="200" w:line-rule="auto"/>
        <w:ind w:firstLine="540"/>
        <w:jc w:val="both"/>
      </w:pPr>
      <w:r>
        <w:rPr>
          <w:sz w:val="20"/>
        </w:rPr>
        <w:t xml:space="preserve">4.9. Выплаты при выполнении работ в других условиях, отклоняющихся от нормальных.</w:t>
      </w:r>
    </w:p>
    <w:p>
      <w:pPr>
        <w:pStyle w:val="0"/>
        <w:spacing w:before="200" w:line-rule="auto"/>
        <w:ind w:firstLine="540"/>
        <w:jc w:val="both"/>
      </w:pPr>
      <w:r>
        <w:rPr>
          <w:sz w:val="20"/>
        </w:rPr>
        <w:t xml:space="preserve">К видам выплат компенсационного характера при выполнении работ в условиях, отклоняющихся от нормальных, относятся выплаты за дополнительную работу, не входящую в прямые должностные обязанности педагогических работников согласно </w:t>
      </w:r>
      <w:hyperlink w:history="0" r:id="rId73" w:tooltip="Приказ Минздравсоцразвития РФ от 26.08.2010 N 761н (ред. от 31.05.2011)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аботников образования&quot; (Зарегистрировано в Минюсте РФ 06.10.2010 N 18638) {КонсультантПлюс}">
        <w:r>
          <w:rPr>
            <w:sz w:val="20"/>
            <w:color w:val="0000ff"/>
          </w:rPr>
          <w:t xml:space="preserve">квалификационным характеристикам</w:t>
        </w:r>
      </w:hyperlink>
      <w:r>
        <w:rPr>
          <w:sz w:val="20"/>
        </w:rPr>
        <w:t xml:space="preserve">, но непосредственно связанную с деятельностью общеобразовательных организаций по реализации образовательных программ.</w:t>
      </w:r>
    </w:p>
    <w:p>
      <w:pPr>
        <w:pStyle w:val="0"/>
        <w:spacing w:before="200" w:line-rule="auto"/>
        <w:ind w:firstLine="540"/>
        <w:jc w:val="both"/>
      </w:pPr>
      <w:r>
        <w:rPr>
          <w:sz w:val="20"/>
        </w:rPr>
        <w:t xml:space="preserve">К такой дополнительной работе относится работа по классному руководству, проверке письменных работ, заведованию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руководству предметными, цикловыми и методическими комиссиями и другая дополнительно оплачиваемая работа, выполняемая с письменного согласия педагогических работников.</w:t>
      </w:r>
    </w:p>
    <w:p>
      <w:pPr>
        <w:pStyle w:val="0"/>
        <w:spacing w:before="200" w:line-rule="auto"/>
        <w:ind w:firstLine="540"/>
        <w:jc w:val="both"/>
      </w:pPr>
      <w:r>
        <w:rPr>
          <w:sz w:val="20"/>
        </w:rPr>
        <w:t xml:space="preserve">При возложении на работников с их письменного согласия перечисленных выше видов дополнительной работы размеры выплат (в виде доплат) устанавливаются общеобразовательными организациями в абсолютных величинах либо определяются в процентах от размеров установленных по квалификационному уровню </w:t>
      </w:r>
      <w:hyperlink w:history="0" r:id="rId74"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по занимаемой должности ставок заработной платы, предусмотренных за норму часов педагогической работы в неделю (в год), или должностных окладов педагогических работников. При определении размеров доплат не учитываются выплаты стимулирующего или компенсационного характера, а также предусмотренные системой оплаты труда повышающие коэффициенты.</w:t>
      </w:r>
    </w:p>
    <w:p>
      <w:pPr>
        <w:pStyle w:val="0"/>
        <w:spacing w:before="200" w:line-rule="auto"/>
        <w:ind w:firstLine="540"/>
        <w:jc w:val="both"/>
      </w:pPr>
      <w:r>
        <w:rPr>
          <w:sz w:val="20"/>
        </w:rPr>
        <w:t xml:space="preserve">Размеры выплат компенсационного характера не могут быть ниже размеров, установленных трудовым законодательством, иными нормативными правовыми актами Российской Федерации, содержащими нормы трудового права, соглашениями и коллективными договорами.</w:t>
      </w:r>
    </w:p>
    <w:p>
      <w:pPr>
        <w:pStyle w:val="0"/>
        <w:spacing w:before="200" w:line-rule="auto"/>
        <w:ind w:firstLine="540"/>
        <w:jc w:val="both"/>
      </w:pPr>
      <w:r>
        <w:rPr>
          <w:sz w:val="20"/>
        </w:rPr>
        <w:t xml:space="preserve">4.10. К видам выплат компенсационного характера могут также относиться выплаты за особенности и специфику работы в общеобразовательных организациях (классах, группах), в том числе:</w:t>
      </w:r>
    </w:p>
    <w:p>
      <w:pPr>
        <w:pStyle w:val="0"/>
        <w:spacing w:before="200" w:line-rule="auto"/>
        <w:ind w:firstLine="540"/>
        <w:jc w:val="both"/>
      </w:pPr>
      <w:r>
        <w:rPr>
          <w:sz w:val="20"/>
        </w:rPr>
        <w:t xml:space="preserve">4.10.1. за работу с обучающимися, воспитанниками с ограниченными возможностями здоровья и (или) нуждающимися в длительном лечении;</w:t>
      </w:r>
    </w:p>
    <w:p>
      <w:pPr>
        <w:pStyle w:val="0"/>
        <w:spacing w:before="200" w:line-rule="auto"/>
        <w:ind w:firstLine="540"/>
        <w:jc w:val="both"/>
      </w:pPr>
      <w:r>
        <w:rPr>
          <w:sz w:val="20"/>
        </w:rPr>
        <w:t xml:space="preserve">4.10.2. за работу в учреждениях:</w:t>
      </w:r>
    </w:p>
    <w:p>
      <w:pPr>
        <w:pStyle w:val="0"/>
        <w:spacing w:before="200" w:line-rule="auto"/>
        <w:ind w:firstLine="540"/>
        <w:jc w:val="both"/>
      </w:pPr>
      <w:r>
        <w:rPr>
          <w:sz w:val="20"/>
        </w:rPr>
        <w:t xml:space="preserve">расположенных в сельской местности;</w:t>
      </w:r>
    </w:p>
    <w:p>
      <w:pPr>
        <w:pStyle w:val="0"/>
        <w:spacing w:before="200" w:line-rule="auto"/>
        <w:ind w:firstLine="540"/>
        <w:jc w:val="both"/>
      </w:pPr>
      <w:r>
        <w:rPr>
          <w:sz w:val="20"/>
        </w:rPr>
        <w:t xml:space="preserve">для детей и подростков с девиантным поведением;</w:t>
      </w:r>
    </w:p>
    <w:p>
      <w:pPr>
        <w:pStyle w:val="0"/>
        <w:spacing w:before="200" w:line-rule="auto"/>
        <w:ind w:firstLine="540"/>
        <w:jc w:val="both"/>
      </w:pPr>
      <w:r>
        <w:rPr>
          <w:sz w:val="20"/>
        </w:rPr>
        <w:t xml:space="preserve">для детей-сирот и детей, оставшихся без попечения родителей;</w:t>
      </w:r>
    </w:p>
    <w:p>
      <w:pPr>
        <w:pStyle w:val="0"/>
        <w:spacing w:before="200" w:line-rule="auto"/>
        <w:ind w:firstLine="540"/>
        <w:jc w:val="both"/>
      </w:pPr>
      <w:r>
        <w:rPr>
          <w:sz w:val="20"/>
        </w:rPr>
        <w:t xml:space="preserve">4.10.3. за осуществление индивидуального обучения на дому обучающихся, которые по медицинским и психолого-педагогическим показаниям не могут обучаться в общеобразовательных учреждениях на общих основаниях, за осуществление индивидуального и группового обучения детей, длительно находящихся на лечении в стационарном лечебном учреждении.</w:t>
      </w:r>
    </w:p>
    <w:p>
      <w:pPr>
        <w:pStyle w:val="0"/>
        <w:jc w:val="both"/>
      </w:pPr>
      <w:r>
        <w:rPr>
          <w:sz w:val="20"/>
        </w:rPr>
      </w:r>
    </w:p>
    <w:p>
      <w:pPr>
        <w:pStyle w:val="2"/>
        <w:outlineLvl w:val="1"/>
        <w:jc w:val="center"/>
      </w:pPr>
      <w:r>
        <w:rPr>
          <w:sz w:val="20"/>
        </w:rPr>
        <w:t xml:space="preserve">V. Выплаты стимулирующего характера</w:t>
      </w:r>
    </w:p>
    <w:p>
      <w:pPr>
        <w:pStyle w:val="0"/>
        <w:jc w:val="both"/>
      </w:pPr>
      <w:r>
        <w:rPr>
          <w:sz w:val="20"/>
        </w:rPr>
      </w:r>
    </w:p>
    <w:p>
      <w:pPr>
        <w:pStyle w:val="0"/>
        <w:ind w:firstLine="540"/>
        <w:jc w:val="both"/>
      </w:pPr>
      <w:r>
        <w:rPr>
          <w:sz w:val="20"/>
        </w:rPr>
        <w:t xml:space="preserve">5.1. В соответствии с </w:t>
      </w:r>
      <w:hyperlink w:history="0" r:id="rId75" w:tooltip="&quot;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18 год&quot; (утв. решением Российской трехсторонней комиссии по регулированию социально-трудовых отношений от 22.12.2017, протокол N 11) {КонсультантПлюс}">
        <w:r>
          <w:rPr>
            <w:sz w:val="20"/>
            <w:color w:val="0000ff"/>
          </w:rPr>
          <w:t xml:space="preserve">пунктом 32</w:t>
        </w:r>
      </w:hyperlink>
      <w:r>
        <w:rPr>
          <w:sz w:val="20"/>
        </w:rPr>
        <w:t xml:space="preserve"> Единых рекомендаций виды выплат стимулирующего характера рекомендуется определять с учетом </w:t>
      </w:r>
      <w:hyperlink w:history="0" r:id="rId76" w:tooltip="Приказ Минздравсоцразвития РФ от 29.12.2007 N 818 (ред. от 17.09.2010) &quot;Об утверждении Перечня видов выплат стимулирующего характера в федеральных бюджетных, автономных, казенных учреждениях и разъяснения о порядке установления выплат стимулирующего характера в этих учреждениях&quot; (Зарегистрировано в Минюсте РФ 01.02.2008 N 11080) {КонсультантПлюс}">
        <w:r>
          <w:rPr>
            <w:sz w:val="20"/>
            <w:color w:val="0000ff"/>
          </w:rPr>
          <w:t xml:space="preserve">Перечня</w:t>
        </w:r>
      </w:hyperlink>
      <w:r>
        <w:rPr>
          <w:sz w:val="20"/>
        </w:rPr>
        <w:t xml:space="preserve"> видов выплат стимулирующего характера в федеральных бюджетных, автономных, казенных учреждениях, утвержденного приказом Минздравсоцразвития России от 29 декабря 2007 г. N 818 (зарегистрированном Минюстом России 1 февраля 2008 г., регистрационный N 11080) (далее - Перечень).</w:t>
      </w:r>
    </w:p>
    <w:p>
      <w:pPr>
        <w:pStyle w:val="0"/>
        <w:spacing w:before="200" w:line-rule="auto"/>
        <w:ind w:firstLine="540"/>
        <w:jc w:val="both"/>
      </w:pPr>
      <w:r>
        <w:rPr>
          <w:sz w:val="20"/>
        </w:rPr>
        <w:t xml:space="preserve">К видам выплат стимулирующего характера согласно указанному Перечню отнесены следующие:</w:t>
      </w:r>
    </w:p>
    <w:p>
      <w:pPr>
        <w:pStyle w:val="0"/>
        <w:spacing w:before="200" w:line-rule="auto"/>
        <w:ind w:firstLine="540"/>
        <w:jc w:val="both"/>
      </w:pPr>
      <w:r>
        <w:rPr>
          <w:sz w:val="20"/>
        </w:rPr>
        <w:t xml:space="preserve">5.1.1. Выплаты за интенсивность и высокие результаты работы.</w:t>
      </w:r>
    </w:p>
    <w:p>
      <w:pPr>
        <w:pStyle w:val="0"/>
        <w:spacing w:before="200" w:line-rule="auto"/>
        <w:ind w:firstLine="540"/>
        <w:jc w:val="both"/>
      </w:pPr>
      <w:r>
        <w:rPr>
          <w:sz w:val="20"/>
        </w:rPr>
        <w:t xml:space="preserve">5.1.2. Выплаты за стаж непрерывной работы.</w:t>
      </w:r>
    </w:p>
    <w:p>
      <w:pPr>
        <w:pStyle w:val="0"/>
        <w:spacing w:before="200" w:line-rule="auto"/>
        <w:ind w:firstLine="540"/>
        <w:jc w:val="both"/>
      </w:pPr>
      <w:r>
        <w:rPr>
          <w:sz w:val="20"/>
        </w:rPr>
        <w:t xml:space="preserve">5.1.3. Выплаты за качество выполняемых работ.</w:t>
      </w:r>
    </w:p>
    <w:p>
      <w:pPr>
        <w:pStyle w:val="0"/>
        <w:spacing w:before="200" w:line-rule="auto"/>
        <w:ind w:firstLine="540"/>
        <w:jc w:val="both"/>
      </w:pPr>
      <w:r>
        <w:rPr>
          <w:sz w:val="20"/>
        </w:rPr>
        <w:t xml:space="preserve">5.1.4. Премиальные выплаты по итогам работы.</w:t>
      </w:r>
    </w:p>
    <w:p>
      <w:pPr>
        <w:pStyle w:val="0"/>
        <w:spacing w:before="200" w:line-rule="auto"/>
        <w:ind w:firstLine="540"/>
        <w:jc w:val="both"/>
      </w:pPr>
      <w:r>
        <w:rPr>
          <w:sz w:val="20"/>
        </w:rPr>
        <w:t xml:space="preserve">5.2. При конкретизации в организациях видов выплат стимулирующего характера могут применяться и иные выплаты, которые рекомендуется подразделять на выплаты, носящие обязательный (постоянный) характер, и выплаты, направленные на стимулирование работника к качественному результату труда, а также на поощрение за выполненную работу (согласно показателям и критериям оценки эффективности деятельности, предусмотренным в организации).</w:t>
      </w:r>
    </w:p>
    <w:p>
      <w:pPr>
        <w:pStyle w:val="0"/>
        <w:spacing w:before="200" w:line-rule="auto"/>
        <w:ind w:firstLine="540"/>
        <w:jc w:val="both"/>
      </w:pPr>
      <w:r>
        <w:rPr>
          <w:sz w:val="20"/>
        </w:rPr>
        <w:t xml:space="preserve">5.2.1. К выплатам, носящим обязательный (постоянный) характер, можно отнести выплату за наличие квалификационной категории, установленной по результатам аттестации, проводимой в </w:t>
      </w:r>
      <w:hyperlink w:history="0" r:id="rId77" w:tooltip="Приказ Минобрнауки России от 07.04.2014 N 276 (ред. от 23.12.2020) &quot;Об утверждении Порядка проведения аттестации педагогических работников организаций, осуществляющих образовательную деятельность&quot; (Зарегистрировано в Минюсте России 23.05.2014 N 32408) ------------ Утратил силу или отменен {КонсультантПлюс}">
        <w:r>
          <w:rPr>
            <w:sz w:val="20"/>
            <w:color w:val="0000ff"/>
          </w:rPr>
          <w:t xml:space="preserve">порядке</w:t>
        </w:r>
      </w:hyperlink>
      <w:r>
        <w:rPr>
          <w:sz w:val="20"/>
        </w:rPr>
        <w:t xml:space="preserve">, установленном приказом Минобрнауки России от 7 апреля следует 2014 г. N 276 "Об утверждении порядка проведения аттестации педагогических работников организаций, осуществляющих образовательную деятельность".</w:t>
      </w:r>
    </w:p>
    <w:p>
      <w:pPr>
        <w:pStyle w:val="0"/>
        <w:spacing w:before="200" w:line-rule="auto"/>
        <w:ind w:firstLine="540"/>
        <w:jc w:val="both"/>
      </w:pPr>
      <w:r>
        <w:rPr>
          <w:sz w:val="20"/>
        </w:rPr>
        <w:t xml:space="preserve">5.2.2. Размеры выплат за стаж непрерывной работы рекомендуется определять дифференцированно с учетом продолжительности непрерывной работы с помощью коэффициентов или процентов от размеров ставок заработной платы или должностных окладов работников, устанавливаемых по квалификационному уровню </w:t>
      </w:r>
      <w:hyperlink w:history="0" r:id="rId78"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r>
        <w:rPr>
          <w:sz w:val="20"/>
        </w:rPr>
        <w:t xml:space="preserve">, а работников, не включенных в профессиональные квалификационные группы, - от размеров окладов (должностных окладов), установленных трудовым договором.</w:t>
      </w:r>
    </w:p>
    <w:p>
      <w:pPr>
        <w:pStyle w:val="0"/>
        <w:spacing w:before="200" w:line-rule="auto"/>
        <w:ind w:firstLine="540"/>
        <w:jc w:val="both"/>
      </w:pPr>
      <w:r>
        <w:rPr>
          <w:sz w:val="20"/>
        </w:rPr>
        <w:t xml:space="preserve">5.2.3. Выплаты за интенсивность и высокие результаты работы, за качество выполняемых работ, премиальные выплаты по итогам работы, а также иные выплаты стимулирующего характера определяются на основе показателей и критериев оценки эффективности деятельности педагогических и иных работников.</w:t>
      </w:r>
    </w:p>
    <w:p>
      <w:pPr>
        <w:pStyle w:val="0"/>
        <w:spacing w:before="200" w:line-rule="auto"/>
        <w:ind w:firstLine="540"/>
        <w:jc w:val="both"/>
      </w:pPr>
      <w:r>
        <w:rPr>
          <w:sz w:val="20"/>
        </w:rPr>
        <w:t xml:space="preserve">Разработку показателей и критериев оценки эффективности деятельности работника рекомендуется осуществлять с учетом следующих принципов:</w:t>
      </w:r>
    </w:p>
    <w:p>
      <w:pPr>
        <w:pStyle w:val="0"/>
        <w:spacing w:before="200" w:line-rule="auto"/>
        <w:ind w:firstLine="540"/>
        <w:jc w:val="both"/>
      </w:pPr>
      <w:r>
        <w:rPr>
          <w:sz w:val="20"/>
        </w:rPr>
        <w:t xml:space="preserve">а) объективность - размер вознаграждения работника должен определяться на основе объективной оценки результатов его труда, а также за достижение коллективных результатов труда;</w:t>
      </w:r>
    </w:p>
    <w:p>
      <w:pPr>
        <w:pStyle w:val="0"/>
        <w:spacing w:before="200" w:line-rule="auto"/>
        <w:ind w:firstLine="540"/>
        <w:jc w:val="both"/>
      </w:pPr>
      <w:r>
        <w:rPr>
          <w:sz w:val="20"/>
        </w:rPr>
        <w:t xml:space="preserve">б) 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pPr>
        <w:pStyle w:val="0"/>
        <w:spacing w:before="200" w:line-rule="auto"/>
        <w:ind w:firstLine="540"/>
        <w:jc w:val="both"/>
      </w:pPr>
      <w:r>
        <w:rPr>
          <w:sz w:val="20"/>
        </w:rPr>
        <w:t xml:space="preserve">в) адекватность - вознаграждение должно быть адекватно трудовому вкладу каждого работника в результат коллективного труда;</w:t>
      </w:r>
    </w:p>
    <w:p>
      <w:pPr>
        <w:pStyle w:val="0"/>
        <w:spacing w:before="200" w:line-rule="auto"/>
        <w:ind w:firstLine="540"/>
        <w:jc w:val="both"/>
      </w:pPr>
      <w:r>
        <w:rPr>
          <w:sz w:val="20"/>
        </w:rPr>
        <w:t xml:space="preserve">г) своевременность - вознаграждение должно следовать за достижением результатов;</w:t>
      </w:r>
    </w:p>
    <w:p>
      <w:pPr>
        <w:pStyle w:val="0"/>
        <w:spacing w:before="200" w:line-rule="auto"/>
        <w:ind w:firstLine="540"/>
        <w:jc w:val="both"/>
      </w:pPr>
      <w:r>
        <w:rPr>
          <w:sz w:val="20"/>
        </w:rPr>
        <w:t xml:space="preserve">д) прозрачность - правила определения вознаграждения должны быть понятны каждому работнику.</w:t>
      </w:r>
    </w:p>
    <w:p>
      <w:pPr>
        <w:pStyle w:val="0"/>
        <w:spacing w:before="200" w:line-rule="auto"/>
        <w:ind w:firstLine="540"/>
        <w:jc w:val="both"/>
      </w:pPr>
      <w:r>
        <w:rPr>
          <w:sz w:val="20"/>
        </w:rPr>
        <w:t xml:space="preserve">Не рекомендуется вводить стимулирующие выплаты, в отношении которых не установлены конкретные измеримые параметры (например, стимулирующие выплаты за добросовестное выполнение обязанностей, интенсивность труда, качество труда и др.), а также в зависимости от формализованных показателей успеваемости обучающихся.</w:t>
      </w:r>
    </w:p>
    <w:p>
      <w:pPr>
        <w:pStyle w:val="0"/>
        <w:spacing w:before="200" w:line-rule="auto"/>
        <w:ind w:firstLine="540"/>
        <w:jc w:val="both"/>
      </w:pPr>
      <w:r>
        <w:rPr>
          <w:sz w:val="20"/>
        </w:rPr>
        <w:t xml:space="preserve">5.3. Определение размеров выплат стимулирующего характера за период времени рекомендуется осуществлять соответствующей комиссией. Состав комиссии может утверждаться руководителем организации по согласованию с представительным органом работников (при наличии), порядок работы комиссии, периодичность ее заседаний, может закрепляться положением о комиссии, утверждаемым руководителем организации с учетом мнения представительного органа работников (при наличии). Рекомендуется предусматривать право работников на обращение в соответствующий орган с целью представления подтверждения наличия оснований для назначения работнику стимулирующей выплаты, а также возможность обжалования работником отказа в назначении стимулирующей выплаты.</w:t>
      </w:r>
    </w:p>
    <w:p>
      <w:pPr>
        <w:pStyle w:val="0"/>
        <w:jc w:val="both"/>
      </w:pPr>
      <w:r>
        <w:rPr>
          <w:sz w:val="20"/>
        </w:rPr>
      </w:r>
    </w:p>
    <w:p>
      <w:pPr>
        <w:pStyle w:val="2"/>
        <w:outlineLvl w:val="1"/>
        <w:jc w:val="center"/>
      </w:pPr>
      <w:r>
        <w:rPr>
          <w:sz w:val="20"/>
        </w:rPr>
        <w:t xml:space="preserve">VI. Условия оплаты труда руководителей организаций,</w:t>
      </w:r>
    </w:p>
    <w:p>
      <w:pPr>
        <w:pStyle w:val="2"/>
        <w:jc w:val="center"/>
      </w:pPr>
      <w:r>
        <w:rPr>
          <w:sz w:val="20"/>
        </w:rPr>
        <w:t xml:space="preserve">их заместителей и главных бухгалтеров</w:t>
      </w:r>
    </w:p>
    <w:p>
      <w:pPr>
        <w:pStyle w:val="0"/>
        <w:jc w:val="both"/>
      </w:pPr>
      <w:r>
        <w:rPr>
          <w:sz w:val="20"/>
        </w:rPr>
      </w:r>
    </w:p>
    <w:p>
      <w:pPr>
        <w:pStyle w:val="0"/>
        <w:ind w:firstLine="540"/>
        <w:jc w:val="both"/>
      </w:pPr>
      <w:r>
        <w:rPr>
          <w:sz w:val="20"/>
        </w:rPr>
        <w:t xml:space="preserve">6.1. Заработная плата руководителей организаций, их заместителей и главных бухгалтеров состоит из должностного оклада, выплат компенсационного и стимулирующего характера.</w:t>
      </w:r>
    </w:p>
    <w:p>
      <w:pPr>
        <w:pStyle w:val="0"/>
        <w:spacing w:before="200" w:line-rule="auto"/>
        <w:ind w:firstLine="540"/>
        <w:jc w:val="both"/>
      </w:pPr>
      <w:r>
        <w:rPr>
          <w:sz w:val="20"/>
        </w:rPr>
        <w:t xml:space="preserve">6.2. Должностные оклады устанавливаются руководителям организаций в зависимости от сложности труда, в том числе с учетом масштаба управления и особенностей деятельности и значимости организации.</w:t>
      </w:r>
    </w:p>
    <w:p>
      <w:pPr>
        <w:pStyle w:val="0"/>
        <w:spacing w:before="200" w:line-rule="auto"/>
        <w:ind w:firstLine="540"/>
        <w:jc w:val="both"/>
      </w:pPr>
      <w:r>
        <w:rPr>
          <w:sz w:val="20"/>
        </w:rPr>
        <w:t xml:space="preserve">6.3. Должностные оклады заместителей руководителей учреждений и главных бухгалтеров устанавливаются на 10 - 30 процентов ниже должностных окладов руководителей этих учреждений.</w:t>
      </w:r>
    </w:p>
    <w:p>
      <w:pPr>
        <w:pStyle w:val="0"/>
        <w:spacing w:before="200" w:line-rule="auto"/>
        <w:ind w:firstLine="540"/>
        <w:jc w:val="both"/>
      </w:pPr>
      <w:r>
        <w:rPr>
          <w:sz w:val="20"/>
        </w:rPr>
        <w:t xml:space="preserve">6.4. Выплаты компенсационного характера устанавливаются руководителям организаций, их заместителям и главным бухгалтерам в зависимости от условий их труда в соответствии с трудовым законодательством, иными нормативными правовыми актами Российской Федерации, содержащими нормы трудового права.</w:t>
      </w:r>
    </w:p>
    <w:p>
      <w:pPr>
        <w:pStyle w:val="0"/>
        <w:spacing w:before="200" w:line-rule="auto"/>
        <w:ind w:firstLine="540"/>
        <w:jc w:val="both"/>
      </w:pPr>
      <w:r>
        <w:rPr>
          <w:sz w:val="20"/>
        </w:rPr>
        <w:t xml:space="preserve">6.5. Выплаты стимулирующего характера руководителям организаций устанавливаются с учетом достижения ими целевых показателей эффективности работы, устанавливаемых органом государственной власти или органом местного самоуправления, в ведении которого находится учреждение. В качестве одного из показателей оценки результативности работы руководителя организации устанавливается рост средней заработной платы работников учреждения в отчетном году по сравнению с предшествующим годом, без учета повышения размера заработной платы в соответствии с решениями вышестоящих органов.</w:t>
      </w:r>
    </w:p>
    <w:p>
      <w:pPr>
        <w:pStyle w:val="0"/>
        <w:spacing w:before="200" w:line-rule="auto"/>
        <w:ind w:firstLine="540"/>
        <w:jc w:val="both"/>
      </w:pPr>
      <w:r>
        <w:rPr>
          <w:sz w:val="20"/>
        </w:rPr>
        <w:t xml:space="preserve">6.6. Условия оплаты труда руководителей организаций устанавливаются в трудовом договоре (дополнительном соглашении к трудовому договору), оформляемом в соответствии с </w:t>
      </w:r>
      <w:hyperlink w:history="0" r:id="rId79" w:tooltip="Постановление Правительства РФ от 12.04.2013 N 329 (ред. от 09.11.2018) &quot;О типовой форме трудового договора с руководителем государственного (муниципального) учреждения&quot; {КонсультантПлюс}">
        <w:r>
          <w:rPr>
            <w:sz w:val="20"/>
            <w:color w:val="0000ff"/>
          </w:rPr>
          <w:t xml:space="preserve">типовой формой</w:t>
        </w:r>
      </w:hyperlink>
      <w:r>
        <w:rPr>
          <w:sz w:val="20"/>
        </w:rPr>
        <w:t xml:space="preserve"> трудового договора с руководителем государственного (муниципального) учреждения, утвержденной постановлением Правительства Российской Федерации от 12 апреля 2013 г. N 329 "О типовой форме трудового договора с руководителем государственного (муниципального) учреждения".</w:t>
      </w:r>
    </w:p>
    <w:p>
      <w:pPr>
        <w:pStyle w:val="0"/>
        <w:spacing w:before="200" w:line-rule="auto"/>
        <w:ind w:firstLine="540"/>
        <w:jc w:val="both"/>
      </w:pPr>
      <w:r>
        <w:rPr>
          <w:sz w:val="20"/>
        </w:rPr>
        <w:t xml:space="preserve">В соответствии со </w:t>
      </w:r>
      <w:hyperlink w:history="0" r:id="rId80" w:tooltip="&quot;Трудовой кодекс Российской Федерации&quot; от 30.12.2001 N 197-ФЗ (ред. от 04.08.2023) (с изм. и доп., вступ. в силу с 01.09.2023) {КонсультантПлюс}">
        <w:r>
          <w:rPr>
            <w:sz w:val="20"/>
            <w:color w:val="0000ff"/>
          </w:rPr>
          <w:t xml:space="preserve">статьей 145</w:t>
        </w:r>
      </w:hyperlink>
      <w:r>
        <w:rPr>
          <w:sz w:val="20"/>
        </w:rPr>
        <w:t xml:space="preserve"> Трудового Кодекса предельный уровень соотношения среднемесячной заработной платы руководителей, их заместителей, главных бухгалтеров государственных и муниципальных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учреждений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учреждений в размере, не превышающем размера, который установлен:</w:t>
      </w:r>
    </w:p>
    <w:p>
      <w:pPr>
        <w:pStyle w:val="0"/>
        <w:spacing w:before="200" w:line-rule="auto"/>
        <w:ind w:firstLine="540"/>
        <w:jc w:val="both"/>
      </w:pPr>
      <w:r>
        <w:rPr>
          <w:sz w:val="20"/>
        </w:rPr>
        <w:t xml:space="preserve">для руководителей, их заместителей, главных бухгалтеров федеральных государственных учреждений - нормативными правовыми актами Правительства Российской Федерации;</w:t>
      </w:r>
    </w:p>
    <w:p>
      <w:pPr>
        <w:pStyle w:val="0"/>
        <w:spacing w:before="200" w:line-rule="auto"/>
        <w:ind w:firstLine="540"/>
        <w:jc w:val="both"/>
      </w:pPr>
      <w:r>
        <w:rPr>
          <w:sz w:val="20"/>
        </w:rPr>
        <w:t xml:space="preserve">для руководителей, их заместителей, главных бухгалтеров государственных учреждений субъектов Российской Федерации - нормативными правовыми актами субъектов Российской Федерации;</w:t>
      </w:r>
    </w:p>
    <w:p>
      <w:pPr>
        <w:pStyle w:val="0"/>
        <w:spacing w:before="200" w:line-rule="auto"/>
        <w:ind w:firstLine="540"/>
        <w:jc w:val="both"/>
      </w:pPr>
      <w:r>
        <w:rPr>
          <w:sz w:val="20"/>
        </w:rPr>
        <w:t xml:space="preserve">для руководителей, их заместителей, главных бухгалтеров муниципальных учреждений - нормативными правовыми актами органов местного самоуправления.</w:t>
      </w:r>
    </w:p>
    <w:p>
      <w:pPr>
        <w:pStyle w:val="0"/>
        <w:spacing w:before="200" w:line-rule="auto"/>
        <w:ind w:firstLine="540"/>
        <w:jc w:val="both"/>
      </w:pPr>
      <w:r>
        <w:rPr>
          <w:sz w:val="20"/>
        </w:rPr>
        <w:t xml:space="preserve">Предельный размер соотношения средней заработной платы руководителей и заместителей руководителей государственных и муниципальных организаций и среднемесячной заработной платы работников таких организаций может дифференцироваться (устанавливаться на более высоком уровне) для руководителей и заместителей руководителей организаций, замещающих должности педагогических работников наряду с выполнением работы, определенной трудовым договором.</w:t>
      </w:r>
    </w:p>
    <w:p>
      <w:pPr>
        <w:pStyle w:val="0"/>
        <w:spacing w:before="200" w:line-rule="auto"/>
        <w:ind w:firstLine="540"/>
        <w:jc w:val="both"/>
      </w:pPr>
      <w:r>
        <w:rPr>
          <w:sz w:val="20"/>
        </w:rPr>
        <w:t xml:space="preserve">Особенности определения учебной нагрузки лиц, замещающих должности педагогических работников наряду с работой, определенной трудовым договором, предусмотрены </w:t>
      </w:r>
      <w:hyperlink w:history="0" r:id="rId81"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пунктами 5.3</w:t>
        </w:r>
      </w:hyperlink>
      <w:r>
        <w:rPr>
          <w:sz w:val="20"/>
        </w:rPr>
        <w:t xml:space="preserve"> и </w:t>
      </w:r>
      <w:hyperlink w:history="0" r:id="rId82"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5.4 приложения 2</w:t>
        </w:r>
      </w:hyperlink>
      <w:r>
        <w:rPr>
          <w:sz w:val="20"/>
        </w:rPr>
        <w:t xml:space="preserve"> к приказу Минобрнауки России N 1601.</w:t>
      </w:r>
    </w:p>
    <w:p>
      <w:pPr>
        <w:pStyle w:val="0"/>
        <w:spacing w:before="200" w:line-rule="auto"/>
        <w:ind w:firstLine="540"/>
        <w:jc w:val="both"/>
      </w:pPr>
      <w:r>
        <w:rPr>
          <w:sz w:val="20"/>
        </w:rPr>
        <w:t xml:space="preserve">При оформлении преподавательской работы руководителей организаций необходимо учитывать, что в соответствии с </w:t>
      </w:r>
      <w:hyperlink w:history="0" r:id="rId83" w:tooltip="Постановление Минтруда РФ от 30.06.2003 N 41 &quot;Об особенностях работы по совместительству педагогических, медицинских, фармацевтических работников и работников культуры&quot; (Зарегистрировано в Минюсте РФ 07.08.2003 N 4963) {КонсультантПлюс}">
        <w:r>
          <w:rPr>
            <w:sz w:val="20"/>
            <w:color w:val="0000ff"/>
          </w:rPr>
          <w:t xml:space="preserve">подпунктом "ж" пункта 2</w:t>
        </w:r>
      </w:hyperlink>
      <w:r>
        <w:rPr>
          <w:sz w:val="20"/>
        </w:rPr>
        <w:t xml:space="preserve"> постановления Министерства труда и социального развития Российской Федерации от 30 июня 2003 г. N 41 "Об особенностях работы по совместительству педагогических, медицинских, фармацевтических работников и работников культуры" работа без занятия штатной должности в том же учреждении, в том числе преподавательская работа руководящих и других работников общеобразовательных учреждений, не считается совместительством и не требует заключения другого трудового договора и допускается в основное рабочее время с согласия руководителя (для руководителя учреждения - с согласия учредителя).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Методическим рекомендациям</w:t>
      </w:r>
    </w:p>
    <w:p>
      <w:pPr>
        <w:pStyle w:val="0"/>
        <w:jc w:val="both"/>
      </w:pPr>
      <w:r>
        <w:rPr>
          <w:sz w:val="20"/>
        </w:rPr>
      </w:r>
    </w:p>
    <w:bookmarkStart w:id="223" w:name="P223"/>
    <w:bookmarkEnd w:id="223"/>
    <w:p>
      <w:pPr>
        <w:pStyle w:val="0"/>
        <w:jc w:val="center"/>
      </w:pPr>
      <w:r>
        <w:rPr>
          <w:sz w:val="20"/>
        </w:rPr>
        <w:t xml:space="preserve">ТАРИФИКАЦИОННЫЙ СПИСОК РАБОТНИКОВ</w:t>
      </w:r>
    </w:p>
    <w:p>
      <w:pPr>
        <w:pStyle w:val="0"/>
        <w:jc w:val="center"/>
      </w:pPr>
      <w:r>
        <w:rPr>
          <w:sz w:val="20"/>
        </w:rPr>
        <w:t xml:space="preserve">на ____ год</w:t>
      </w:r>
    </w:p>
    <w:p>
      <w:pPr>
        <w:pStyle w:val="0"/>
        <w:jc w:val="both"/>
      </w:pPr>
      <w:r>
        <w:rPr>
          <w:sz w:val="20"/>
        </w:rPr>
      </w:r>
    </w:p>
    <w:p>
      <w:pPr>
        <w:pStyle w:val="0"/>
        <w:jc w:val="center"/>
      </w:pPr>
      <w:r>
        <w:rPr>
          <w:sz w:val="20"/>
        </w:rPr>
        <w:t xml:space="preserve">___________________________________________________________</w:t>
      </w:r>
    </w:p>
    <w:p>
      <w:pPr>
        <w:pStyle w:val="0"/>
        <w:jc w:val="center"/>
      </w:pPr>
      <w:r>
        <w:rPr>
          <w:sz w:val="20"/>
        </w:rPr>
        <w:t xml:space="preserve">(полное название общеобразовательной организации,</w:t>
      </w:r>
    </w:p>
    <w:p>
      <w:pPr>
        <w:pStyle w:val="0"/>
        <w:jc w:val="center"/>
      </w:pPr>
      <w:r>
        <w:rPr>
          <w:sz w:val="20"/>
        </w:rPr>
        <w:t xml:space="preserve">его подчиненность и адрес)</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7"/>
        <w:gridCol w:w="937"/>
        <w:gridCol w:w="1361"/>
        <w:gridCol w:w="1644"/>
        <w:gridCol w:w="1440"/>
        <w:gridCol w:w="1757"/>
        <w:gridCol w:w="1531"/>
        <w:gridCol w:w="1725"/>
        <w:gridCol w:w="1531"/>
        <w:gridCol w:w="1141"/>
      </w:tblGrid>
      <w:tr>
        <w:tc>
          <w:tcPr>
            <w:tcW w:w="537" w:type="dxa"/>
            <w:vMerge w:val="restart"/>
          </w:tcPr>
          <w:p>
            <w:pPr>
              <w:pStyle w:val="0"/>
              <w:jc w:val="center"/>
            </w:pPr>
            <w:r>
              <w:rPr>
                <w:sz w:val="20"/>
              </w:rPr>
              <w:t xml:space="preserve">NN п/п</w:t>
            </w:r>
          </w:p>
        </w:tc>
        <w:tc>
          <w:tcPr>
            <w:tcW w:w="937" w:type="dxa"/>
            <w:vMerge w:val="restart"/>
          </w:tcPr>
          <w:p>
            <w:pPr>
              <w:pStyle w:val="0"/>
              <w:jc w:val="center"/>
            </w:pPr>
            <w:r>
              <w:rPr>
                <w:sz w:val="20"/>
              </w:rPr>
              <w:t xml:space="preserve">Фамилия, Имя, отчество</w:t>
            </w:r>
          </w:p>
        </w:tc>
        <w:tc>
          <w:tcPr>
            <w:tcW w:w="1361" w:type="dxa"/>
            <w:vMerge w:val="restart"/>
          </w:tcPr>
          <w:p>
            <w:pPr>
              <w:pStyle w:val="0"/>
              <w:jc w:val="center"/>
            </w:pPr>
            <w:r>
              <w:rPr>
                <w:sz w:val="20"/>
              </w:rPr>
              <w:t xml:space="preserve">Наименование должности, преподаваемый предмет</w:t>
            </w:r>
          </w:p>
        </w:tc>
        <w:tc>
          <w:tcPr>
            <w:tcW w:w="1644" w:type="dxa"/>
            <w:vMerge w:val="restart"/>
          </w:tcPr>
          <w:p>
            <w:pPr>
              <w:pStyle w:val="0"/>
              <w:jc w:val="center"/>
            </w:pPr>
            <w:r>
              <w:rPr>
                <w:sz w:val="20"/>
              </w:rPr>
              <w:t xml:space="preserve">Образование, наименование и дата окончания образовательного учреждения</w:t>
            </w:r>
          </w:p>
        </w:tc>
        <w:tc>
          <w:tcPr>
            <w:tcW w:w="1440" w:type="dxa"/>
            <w:vMerge w:val="restart"/>
          </w:tcPr>
          <w:p>
            <w:pPr>
              <w:pStyle w:val="0"/>
              <w:jc w:val="center"/>
            </w:pPr>
            <w:r>
              <w:rPr>
                <w:sz w:val="20"/>
              </w:rPr>
              <w:t xml:space="preserve">Стаж непрерывной работы на начало учебного года (число лет и месяцев) </w:t>
            </w:r>
            <w:hyperlink w:history="0" w:anchor="P283" w:tooltip="&lt;*&gt; (1) При изменении в течение учебного года стажа непрерывной работы, дающего право на увеличение надбавки, в тарификационном списке второй строкой указывается новый размер надбавки с указанием месяца, с которого будет производиться изменение заработной платы.">
              <w:r>
                <w:rPr>
                  <w:sz w:val="20"/>
                  <w:color w:val="0000ff"/>
                </w:rPr>
                <w:t xml:space="preserve">&lt;*&gt;</w:t>
              </w:r>
            </w:hyperlink>
          </w:p>
        </w:tc>
        <w:tc>
          <w:tcPr>
            <w:tcW w:w="1757" w:type="dxa"/>
            <w:vMerge w:val="restart"/>
          </w:tcPr>
          <w:p>
            <w:pPr>
              <w:pStyle w:val="0"/>
              <w:jc w:val="center"/>
            </w:pPr>
            <w:r>
              <w:rPr>
                <w:sz w:val="20"/>
              </w:rPr>
              <w:t xml:space="preserve">Размер ставки заработной платы за норму часов учебной (преподавательской) работы по квалификационному уровню </w:t>
            </w:r>
            <w:hyperlink w:history="0" r:id="rId86" w:tooltip="Приказ Минздравсоцразвития России от 05.05.2008 N 216н (ред. от 23.12.2011) &quot;Об утверждении профессиональных квалификационных групп должностей работников образования&quot; (Зарегистрировано в Минюсте России 22.05.2008 N 11731) {КонсультантПлюс}">
              <w:r>
                <w:rPr>
                  <w:sz w:val="20"/>
                  <w:color w:val="0000ff"/>
                </w:rPr>
                <w:t xml:space="preserve">ПКГ</w:t>
              </w:r>
            </w:hyperlink>
          </w:p>
        </w:tc>
        <w:tc>
          <w:tcPr>
            <w:tcW w:w="1531" w:type="dxa"/>
            <w:vMerge w:val="restart"/>
          </w:tcPr>
          <w:p>
            <w:pPr>
              <w:pStyle w:val="0"/>
              <w:jc w:val="center"/>
            </w:pPr>
            <w:r>
              <w:rPr>
                <w:sz w:val="20"/>
              </w:rPr>
              <w:t xml:space="preserve">Фактический объем учебной нагрузки, фактический объем педагогической работы</w:t>
            </w:r>
          </w:p>
        </w:tc>
        <w:tc>
          <w:tcPr>
            <w:tcW w:w="1725" w:type="dxa"/>
            <w:vMerge w:val="restart"/>
          </w:tcPr>
          <w:p>
            <w:pPr>
              <w:pStyle w:val="0"/>
              <w:jc w:val="center"/>
            </w:pPr>
            <w:r>
              <w:rPr>
                <w:sz w:val="20"/>
              </w:rPr>
              <w:t xml:space="preserve">Заработная плата за фактический объем учебной нагрузки, фактический объем педагогической работы</w:t>
            </w:r>
          </w:p>
        </w:tc>
        <w:tc>
          <w:tcPr>
            <w:gridSpan w:val="2"/>
            <w:tcW w:w="2672" w:type="dxa"/>
          </w:tcPr>
          <w:p>
            <w:pPr>
              <w:pStyle w:val="0"/>
              <w:jc w:val="center"/>
            </w:pPr>
            <w:r>
              <w:rPr>
                <w:sz w:val="20"/>
              </w:rPr>
              <w:t xml:space="preserve">Размер повышения заработной платы, указанной в графе 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531" w:type="dxa"/>
          </w:tcPr>
          <w:p>
            <w:pPr>
              <w:pStyle w:val="0"/>
              <w:jc w:val="center"/>
            </w:pPr>
            <w:r>
              <w:rPr>
                <w:sz w:val="20"/>
              </w:rPr>
              <w:t xml:space="preserve">За квалификационную категорию</w:t>
            </w:r>
          </w:p>
        </w:tc>
        <w:tc>
          <w:tcPr>
            <w:tcW w:w="1141" w:type="dxa"/>
          </w:tcPr>
          <w:p>
            <w:pPr>
              <w:pStyle w:val="0"/>
              <w:jc w:val="center"/>
            </w:pPr>
            <w:r>
              <w:rPr>
                <w:sz w:val="20"/>
              </w:rPr>
              <w:t xml:space="preserve">По иным основаниям</w:t>
            </w:r>
          </w:p>
        </w:tc>
      </w:tr>
      <w:tr>
        <w:tc>
          <w:tcPr>
            <w:tcW w:w="537" w:type="dxa"/>
          </w:tcPr>
          <w:p>
            <w:pPr>
              <w:pStyle w:val="0"/>
              <w:jc w:val="center"/>
            </w:pPr>
            <w:r>
              <w:rPr>
                <w:sz w:val="20"/>
              </w:rPr>
              <w:t xml:space="preserve">1</w:t>
            </w:r>
          </w:p>
        </w:tc>
        <w:tc>
          <w:tcPr>
            <w:tcW w:w="937" w:type="dxa"/>
          </w:tcPr>
          <w:p>
            <w:pPr>
              <w:pStyle w:val="0"/>
              <w:jc w:val="center"/>
            </w:pPr>
            <w:r>
              <w:rPr>
                <w:sz w:val="20"/>
              </w:rPr>
              <w:t xml:space="preserve">2</w:t>
            </w:r>
          </w:p>
        </w:tc>
        <w:tc>
          <w:tcPr>
            <w:tcW w:w="1361" w:type="dxa"/>
          </w:tcPr>
          <w:p>
            <w:pPr>
              <w:pStyle w:val="0"/>
              <w:jc w:val="center"/>
            </w:pPr>
            <w:r>
              <w:rPr>
                <w:sz w:val="20"/>
              </w:rPr>
              <w:t xml:space="preserve">3</w:t>
            </w:r>
          </w:p>
        </w:tc>
        <w:tc>
          <w:tcPr>
            <w:tcW w:w="1644" w:type="dxa"/>
          </w:tcPr>
          <w:p>
            <w:pPr>
              <w:pStyle w:val="0"/>
              <w:jc w:val="center"/>
            </w:pPr>
            <w:r>
              <w:rPr>
                <w:sz w:val="20"/>
              </w:rPr>
              <w:t xml:space="preserve">4</w:t>
            </w:r>
          </w:p>
        </w:tc>
        <w:tc>
          <w:tcPr>
            <w:tcW w:w="1440" w:type="dxa"/>
          </w:tcPr>
          <w:p>
            <w:pPr>
              <w:pStyle w:val="0"/>
              <w:jc w:val="center"/>
            </w:pPr>
            <w:r>
              <w:rPr>
                <w:sz w:val="20"/>
              </w:rPr>
              <w:t xml:space="preserve">5</w:t>
            </w:r>
          </w:p>
        </w:tc>
        <w:tc>
          <w:tcPr>
            <w:tcW w:w="1757" w:type="dxa"/>
          </w:tcPr>
          <w:p>
            <w:pPr>
              <w:pStyle w:val="0"/>
              <w:jc w:val="center"/>
            </w:pPr>
            <w:r>
              <w:rPr>
                <w:sz w:val="20"/>
              </w:rPr>
              <w:t xml:space="preserve">6</w:t>
            </w:r>
          </w:p>
        </w:tc>
        <w:tc>
          <w:tcPr>
            <w:tcW w:w="1531" w:type="dxa"/>
          </w:tcPr>
          <w:p>
            <w:pPr>
              <w:pStyle w:val="0"/>
              <w:jc w:val="center"/>
            </w:pPr>
            <w:r>
              <w:rPr>
                <w:sz w:val="20"/>
              </w:rPr>
              <w:t xml:space="preserve">7</w:t>
            </w:r>
          </w:p>
        </w:tc>
        <w:tc>
          <w:tcPr>
            <w:tcW w:w="1725" w:type="dxa"/>
          </w:tcPr>
          <w:p>
            <w:pPr>
              <w:pStyle w:val="0"/>
              <w:jc w:val="center"/>
            </w:pPr>
            <w:r>
              <w:rPr>
                <w:sz w:val="20"/>
              </w:rPr>
              <w:t xml:space="preserve">8</w:t>
            </w:r>
          </w:p>
        </w:tc>
        <w:tc>
          <w:tcPr>
            <w:tcW w:w="1531" w:type="dxa"/>
          </w:tcPr>
          <w:p>
            <w:pPr>
              <w:pStyle w:val="0"/>
              <w:jc w:val="center"/>
            </w:pPr>
            <w:r>
              <w:rPr>
                <w:sz w:val="20"/>
              </w:rPr>
              <w:t xml:space="preserve">9</w:t>
            </w:r>
          </w:p>
        </w:tc>
        <w:tc>
          <w:tcPr>
            <w:tcW w:w="1141" w:type="dxa"/>
          </w:tcPr>
          <w:p>
            <w:pPr>
              <w:pStyle w:val="0"/>
              <w:jc w:val="center"/>
            </w:pPr>
            <w:r>
              <w:rPr>
                <w:sz w:val="20"/>
              </w:rPr>
              <w:t xml:space="preserve">10</w:t>
            </w:r>
          </w:p>
        </w:tc>
      </w:tr>
    </w:tbl>
    <w:p>
      <w:pPr>
        <w:pStyle w:val="0"/>
        <w:jc w:val="both"/>
      </w:pPr>
      <w:r>
        <w:rPr>
          <w:sz w:val="20"/>
        </w:rPr>
      </w:r>
    </w:p>
    <w:p>
      <w:pPr>
        <w:pStyle w:val="0"/>
        <w:jc w:val="both"/>
      </w:pPr>
      <w:r>
        <w:rPr>
          <w:sz w:val="20"/>
        </w:rPr>
        <w:t xml:space="preserve">Продолжение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1304"/>
        <w:gridCol w:w="1134"/>
        <w:gridCol w:w="1304"/>
        <w:gridCol w:w="1304"/>
        <w:gridCol w:w="1223"/>
        <w:gridCol w:w="1114"/>
        <w:gridCol w:w="1223"/>
        <w:gridCol w:w="1247"/>
        <w:gridCol w:w="1247"/>
        <w:gridCol w:w="1092"/>
      </w:tblGrid>
      <w:tr>
        <w:tc>
          <w:tcPr>
            <w:tcW w:w="1361" w:type="dxa"/>
            <w:vMerge w:val="restart"/>
          </w:tcPr>
          <w:p>
            <w:pPr>
              <w:pStyle w:val="0"/>
              <w:jc w:val="center"/>
            </w:pPr>
            <w:r>
              <w:rPr>
                <w:sz w:val="20"/>
              </w:rPr>
              <w:t xml:space="preserve">Заработная плата в месяц за фактическую учебную нагрузку (графа 8) с учетом повышения (повышений) по основаниям, указанным в графах 9. 10</w:t>
            </w:r>
          </w:p>
        </w:tc>
        <w:tc>
          <w:tcPr>
            <w:gridSpan w:val="4"/>
            <w:tcW w:w="5046" w:type="dxa"/>
          </w:tcPr>
          <w:p>
            <w:pPr>
              <w:pStyle w:val="0"/>
              <w:jc w:val="center"/>
            </w:pPr>
            <w:r>
              <w:rPr>
                <w:sz w:val="20"/>
              </w:rPr>
              <w:t xml:space="preserve">Доплата за дополнительные виды работ, в том числе:</w:t>
            </w:r>
          </w:p>
        </w:tc>
        <w:tc>
          <w:tcPr>
            <w:tcW w:w="1223" w:type="dxa"/>
            <w:vMerge w:val="restart"/>
          </w:tcPr>
          <w:p>
            <w:pPr>
              <w:pStyle w:val="0"/>
              <w:jc w:val="center"/>
            </w:pPr>
            <w:r>
              <w:rPr>
                <w:sz w:val="20"/>
              </w:rPr>
              <w:t xml:space="preserve">Надбавка за непрерывный стаж </w:t>
            </w:r>
            <w:hyperlink w:history="0" w:anchor="P283" w:tooltip="&lt;*&gt; (1) При изменении в течение учебного года стажа непрерывной работы, дающего право на увеличение надбавки, в тарификационном списке второй строкой указывается новый размер надбавки с указанием месяца, с которого будет производиться изменение заработной платы.">
              <w:r>
                <w:rPr>
                  <w:sz w:val="20"/>
                  <w:color w:val="0000ff"/>
                </w:rPr>
                <w:t xml:space="preserve">&lt;*&gt;</w:t>
              </w:r>
            </w:hyperlink>
          </w:p>
        </w:tc>
        <w:tc>
          <w:tcPr>
            <w:tcW w:w="1114" w:type="dxa"/>
            <w:vMerge w:val="restart"/>
          </w:tcPr>
          <w:p>
            <w:pPr>
              <w:pStyle w:val="0"/>
              <w:jc w:val="center"/>
            </w:pPr>
            <w:r>
              <w:rPr>
                <w:sz w:val="20"/>
              </w:rPr>
              <w:t xml:space="preserve">Иные постоянные надбавки</w:t>
            </w:r>
          </w:p>
        </w:tc>
        <w:tc>
          <w:tcPr>
            <w:tcW w:w="1223" w:type="dxa"/>
            <w:vMerge w:val="restart"/>
          </w:tcPr>
          <w:p>
            <w:pPr>
              <w:pStyle w:val="0"/>
              <w:jc w:val="center"/>
            </w:pPr>
            <w:r>
              <w:rPr>
                <w:sz w:val="20"/>
              </w:rPr>
              <w:t xml:space="preserve">Итого заработная плата в месяц по графе 11 с учетом доплат и надбавок по графам 12 - 17</w:t>
            </w:r>
          </w:p>
        </w:tc>
        <w:tc>
          <w:tcPr>
            <w:tcW w:w="1247" w:type="dxa"/>
            <w:vMerge w:val="restart"/>
          </w:tcPr>
          <w:p>
            <w:pPr>
              <w:pStyle w:val="0"/>
              <w:jc w:val="center"/>
            </w:pPr>
            <w:r>
              <w:rPr>
                <w:sz w:val="20"/>
              </w:rPr>
              <w:t xml:space="preserve">Размер увеличения заработной платы по гр. 18 с учетом районного коэффициента</w:t>
            </w:r>
          </w:p>
        </w:tc>
        <w:tc>
          <w:tcPr>
            <w:tcW w:w="1247" w:type="dxa"/>
            <w:vMerge w:val="restart"/>
          </w:tcPr>
          <w:p>
            <w:pPr>
              <w:pStyle w:val="0"/>
              <w:jc w:val="center"/>
            </w:pPr>
            <w:r>
              <w:rPr>
                <w:sz w:val="20"/>
              </w:rPr>
              <w:t xml:space="preserve">Размер увеличения заработной платы по гр. 18 с учетом процентной надбавки (северной)</w:t>
            </w:r>
          </w:p>
        </w:tc>
        <w:tc>
          <w:tcPr>
            <w:tcW w:w="1092" w:type="dxa"/>
            <w:vMerge w:val="restart"/>
          </w:tcPr>
          <w:p>
            <w:pPr>
              <w:pStyle w:val="0"/>
              <w:jc w:val="center"/>
            </w:pPr>
            <w:r>
              <w:rPr>
                <w:sz w:val="20"/>
              </w:rPr>
              <w:t xml:space="preserve">Итого заработная плата (сумма граф 18, 19, 20</w:t>
            </w:r>
          </w:p>
        </w:tc>
      </w:tr>
      <w:tr>
        <w:tc>
          <w:tcPr>
            <w:vMerge w:val="continue"/>
          </w:tcPr>
          <w:p/>
        </w:tc>
        <w:tc>
          <w:tcPr>
            <w:tcW w:w="1304" w:type="dxa"/>
          </w:tcPr>
          <w:p>
            <w:pPr>
              <w:pStyle w:val="0"/>
              <w:jc w:val="center"/>
            </w:pPr>
            <w:r>
              <w:rPr>
                <w:sz w:val="20"/>
              </w:rPr>
              <w:t xml:space="preserve">Проверку письменных работ (определяется с учетом фактического объема учебной нагрузки</w:t>
            </w:r>
          </w:p>
        </w:tc>
        <w:tc>
          <w:tcPr>
            <w:tcW w:w="1134" w:type="dxa"/>
          </w:tcPr>
          <w:p>
            <w:pPr>
              <w:pStyle w:val="0"/>
              <w:jc w:val="center"/>
            </w:pPr>
            <w:r>
              <w:rPr>
                <w:sz w:val="20"/>
              </w:rPr>
              <w:t xml:space="preserve">Классное руководство</w:t>
            </w:r>
          </w:p>
        </w:tc>
        <w:tc>
          <w:tcPr>
            <w:tcW w:w="1304" w:type="dxa"/>
          </w:tcPr>
          <w:p>
            <w:pPr>
              <w:pStyle w:val="0"/>
              <w:jc w:val="center"/>
            </w:pPr>
            <w:r>
              <w:rPr>
                <w:sz w:val="20"/>
              </w:rPr>
              <w:t xml:space="preserve">Заведование учебными кабинетами, лабораториями, учебными мастерскими</w:t>
            </w:r>
          </w:p>
        </w:tc>
        <w:tc>
          <w:tcPr>
            <w:tcW w:w="1304" w:type="dxa"/>
          </w:tcPr>
          <w:p>
            <w:pPr>
              <w:pStyle w:val="0"/>
              <w:jc w:val="center"/>
            </w:pPr>
            <w:r>
              <w:rPr>
                <w:sz w:val="20"/>
              </w:rPr>
              <w:t xml:space="preserve">Другие виды дополнительной работы</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361" w:type="dxa"/>
          </w:tcPr>
          <w:p>
            <w:pPr>
              <w:pStyle w:val="0"/>
              <w:jc w:val="center"/>
            </w:pPr>
            <w:r>
              <w:rPr>
                <w:sz w:val="20"/>
              </w:rPr>
              <w:t xml:space="preserve">11</w:t>
            </w:r>
          </w:p>
        </w:tc>
        <w:tc>
          <w:tcPr>
            <w:tcW w:w="1304" w:type="dxa"/>
          </w:tcPr>
          <w:p>
            <w:pPr>
              <w:pStyle w:val="0"/>
              <w:jc w:val="center"/>
            </w:pPr>
            <w:r>
              <w:rPr>
                <w:sz w:val="20"/>
              </w:rPr>
              <w:t xml:space="preserve">12</w:t>
            </w:r>
          </w:p>
        </w:tc>
        <w:tc>
          <w:tcPr>
            <w:tcW w:w="1134" w:type="dxa"/>
          </w:tcPr>
          <w:p>
            <w:pPr>
              <w:pStyle w:val="0"/>
              <w:jc w:val="center"/>
            </w:pPr>
            <w:r>
              <w:rPr>
                <w:sz w:val="20"/>
              </w:rPr>
              <w:t xml:space="preserve">13</w:t>
            </w:r>
          </w:p>
        </w:tc>
        <w:tc>
          <w:tcPr>
            <w:tcW w:w="1304" w:type="dxa"/>
          </w:tcPr>
          <w:p>
            <w:pPr>
              <w:pStyle w:val="0"/>
              <w:jc w:val="center"/>
            </w:pPr>
            <w:r>
              <w:rPr>
                <w:sz w:val="20"/>
              </w:rPr>
              <w:t xml:space="preserve">14</w:t>
            </w:r>
          </w:p>
        </w:tc>
        <w:tc>
          <w:tcPr>
            <w:tcW w:w="1304" w:type="dxa"/>
          </w:tcPr>
          <w:p>
            <w:pPr>
              <w:pStyle w:val="0"/>
              <w:jc w:val="center"/>
            </w:pPr>
            <w:r>
              <w:rPr>
                <w:sz w:val="20"/>
              </w:rPr>
              <w:t xml:space="preserve">15</w:t>
            </w:r>
          </w:p>
        </w:tc>
        <w:tc>
          <w:tcPr>
            <w:tcW w:w="1223" w:type="dxa"/>
          </w:tcPr>
          <w:p>
            <w:pPr>
              <w:pStyle w:val="0"/>
              <w:jc w:val="center"/>
            </w:pPr>
            <w:r>
              <w:rPr>
                <w:sz w:val="20"/>
              </w:rPr>
              <w:t xml:space="preserve">16</w:t>
            </w:r>
          </w:p>
        </w:tc>
        <w:tc>
          <w:tcPr>
            <w:tcW w:w="1114" w:type="dxa"/>
          </w:tcPr>
          <w:p>
            <w:pPr>
              <w:pStyle w:val="0"/>
              <w:jc w:val="center"/>
            </w:pPr>
            <w:r>
              <w:rPr>
                <w:sz w:val="20"/>
              </w:rPr>
              <w:t xml:space="preserve">17</w:t>
            </w:r>
          </w:p>
        </w:tc>
        <w:tc>
          <w:tcPr>
            <w:tcW w:w="1223" w:type="dxa"/>
          </w:tcPr>
          <w:p>
            <w:pPr>
              <w:pStyle w:val="0"/>
              <w:jc w:val="center"/>
            </w:pPr>
            <w:r>
              <w:rPr>
                <w:sz w:val="20"/>
              </w:rPr>
              <w:t xml:space="preserve">18</w:t>
            </w:r>
          </w:p>
        </w:tc>
        <w:tc>
          <w:tcPr>
            <w:tcW w:w="1247" w:type="dxa"/>
          </w:tcPr>
          <w:p>
            <w:pPr>
              <w:pStyle w:val="0"/>
              <w:jc w:val="center"/>
            </w:pPr>
            <w:r>
              <w:rPr>
                <w:sz w:val="20"/>
              </w:rPr>
              <w:t xml:space="preserve">19</w:t>
            </w:r>
          </w:p>
        </w:tc>
        <w:tc>
          <w:tcPr>
            <w:tcW w:w="1247" w:type="dxa"/>
          </w:tcPr>
          <w:p>
            <w:pPr>
              <w:pStyle w:val="0"/>
              <w:jc w:val="center"/>
            </w:pPr>
            <w:r>
              <w:rPr>
                <w:sz w:val="20"/>
              </w:rPr>
              <w:t xml:space="preserve">20</w:t>
            </w:r>
          </w:p>
        </w:tc>
        <w:tc>
          <w:tcPr>
            <w:tcW w:w="1092" w:type="dxa"/>
          </w:tcPr>
          <w:p>
            <w:pPr>
              <w:pStyle w:val="0"/>
              <w:jc w:val="center"/>
            </w:pPr>
            <w:r>
              <w:rPr>
                <w:sz w:val="20"/>
              </w:rPr>
              <w:t xml:space="preserve">21</w:t>
            </w:r>
          </w:p>
        </w:tc>
      </w:tr>
    </w:tbl>
    <w:p>
      <w:pPr>
        <w:pStyle w:val="0"/>
        <w:jc w:val="both"/>
      </w:pPr>
      <w:r>
        <w:rPr>
          <w:sz w:val="20"/>
        </w:rPr>
      </w:r>
    </w:p>
    <w:p>
      <w:pPr>
        <w:pStyle w:val="0"/>
        <w:ind w:firstLine="540"/>
        <w:jc w:val="both"/>
      </w:pPr>
      <w:r>
        <w:rPr>
          <w:sz w:val="20"/>
        </w:rPr>
        <w:t xml:space="preserve">Директор _______________________________________________</w:t>
      </w:r>
    </w:p>
    <w:p>
      <w:pPr>
        <w:pStyle w:val="0"/>
        <w:ind w:firstLine="540"/>
        <w:jc w:val="both"/>
      </w:pPr>
      <w:r>
        <w:rPr>
          <w:sz w:val="20"/>
        </w:rPr>
      </w:r>
    </w:p>
    <w:p>
      <w:pPr>
        <w:pStyle w:val="0"/>
        <w:ind w:firstLine="540"/>
        <w:jc w:val="both"/>
      </w:pPr>
      <w:r>
        <w:rPr>
          <w:sz w:val="20"/>
        </w:rPr>
        <w:t xml:space="preserve">Бухгалтер ______________________________________</w:t>
      </w:r>
    </w:p>
    <w:p>
      <w:pPr>
        <w:pStyle w:val="0"/>
        <w:jc w:val="both"/>
      </w:pPr>
      <w:r>
        <w:rPr>
          <w:sz w:val="20"/>
        </w:rPr>
      </w:r>
    </w:p>
    <w:p>
      <w:pPr>
        <w:pStyle w:val="0"/>
        <w:ind w:firstLine="540"/>
        <w:jc w:val="both"/>
      </w:pPr>
      <w:r>
        <w:rPr>
          <w:sz w:val="20"/>
        </w:rPr>
        <w:t xml:space="preserve">--------------------------------</w:t>
      </w:r>
    </w:p>
    <w:bookmarkStart w:id="283" w:name="P283"/>
    <w:bookmarkEnd w:id="283"/>
    <w:p>
      <w:pPr>
        <w:pStyle w:val="0"/>
        <w:spacing w:before="200" w:line-rule="auto"/>
        <w:ind w:firstLine="540"/>
        <w:jc w:val="both"/>
      </w:pPr>
      <w:r>
        <w:rPr>
          <w:sz w:val="20"/>
        </w:rPr>
        <w:t xml:space="preserve">&lt;*&gt; (1) При изменении в течение учебного года стажа непрерывной работы, дающего право на увеличение надбавки, в тарификационном списке второй строкой указывается новый размер надбавки с указанием месяца, с которого будет производиться изменение заработной платы.</w:t>
      </w:r>
    </w:p>
    <w:p>
      <w:pPr>
        <w:pStyle w:val="0"/>
        <w:spacing w:before="200" w:line-rule="auto"/>
        <w:ind w:firstLine="540"/>
        <w:jc w:val="both"/>
      </w:pPr>
      <w:r>
        <w:rPr>
          <w:sz w:val="20"/>
        </w:rPr>
        <w:t xml:space="preserve">(2) В случае, если у работника в течение учебного года изменяется месячная заработная плата в связи с установлением квалификационной категории, увеличением фактического объема учебной нагрузки и по иным основаниям, в тарификационный список вносятся соответствующие изменения.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84"/>
      <w:headerReference w:type="first" r:id="rId84"/>
      <w:footerReference w:type="default" r:id="rId85"/>
      <w:footerReference w:type="first" r:id="rId85"/>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Минобрнауки России от 29.12.2017 N ВП-1992/02</w:t>
            <w:br/>
            <w:t>"О методических рекомендациях"</w:t>
            <w:br/>
            <w:t>(вместе с "Методическими рекоменда...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11.09.2023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&lt;Письмо&gt; Минобрнауки России от 29.12.2017 N ВП-1992/02</w:t>
            <w:br/>
            <w:t>"О методических рекомендациях"</w:t>
            <w:br/>
            <w:t>(вместе с "Методическими рекоменда...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53002507A43FCA1B979A00E0304F01D7931691C2566FEAD35498C8FAEDD681620642DC6C9A8B9A5E5D4991605FB708A46E31875D7CA72E87NCj8I" TargetMode = "External"/>
	<Relationship Id="rId8" Type="http://schemas.openxmlformats.org/officeDocument/2006/relationships/hyperlink" Target="consultantplus://offline/ref=53002507A43FCA1B979A00E0304F01D7961793C35561EAD35498C8FAEDD681620642DC6C9A8B995C524991605FB708A46E31875D7CA72E87NCj8I" TargetMode = "External"/>
	<Relationship Id="rId9" Type="http://schemas.openxmlformats.org/officeDocument/2006/relationships/hyperlink" Target="consultantplus://offline/ref=53002507A43FCA1B979A00E0304F01D7961793C35561EAD35498C8FAEDD681620642DC6C9A8B995D504991605FB708A46E31875D7CA72E87NCj8I" TargetMode = "External"/>
	<Relationship Id="rId10" Type="http://schemas.openxmlformats.org/officeDocument/2006/relationships/hyperlink" Target="consultantplus://offline/ref=53002507A43FCA1B979A00E0304F01D7961793C35561EAD35498C8FAEDD681620642DC6C9A8B9C58534991605FB708A46E31875D7CA72E87NCj8I" TargetMode = "External"/>
	<Relationship Id="rId11" Type="http://schemas.openxmlformats.org/officeDocument/2006/relationships/hyperlink" Target="consultantplus://offline/ref=53002507A43FCA1B979A00E0304F01D793169DC4516CEAD35498C8FAEDD681620642DC6C9A8B9A5C564991605FB708A46E31875D7CA72E87NCj8I" TargetMode = "External"/>
	<Relationship Id="rId12" Type="http://schemas.openxmlformats.org/officeDocument/2006/relationships/hyperlink" Target="consultantplus://offline/ref=53002507A43FCA1B979A00E0304F01D7931794C2546EEAD35498C8FAEDD681620642DC6C9A8B9B58504991605FB708A46E31875D7CA72E87NCj8I" TargetMode = "External"/>
	<Relationship Id="rId13" Type="http://schemas.openxmlformats.org/officeDocument/2006/relationships/hyperlink" Target="consultantplus://offline/ref=53002507A43FCA1B979A00E0304F01D7901C96C05060EAD35498C8FAEDD681620642DC6C9A8B9A5C564991605FB708A46E31875D7CA72E87NCj8I" TargetMode = "External"/>
	<Relationship Id="rId14" Type="http://schemas.openxmlformats.org/officeDocument/2006/relationships/hyperlink" Target="consultantplus://offline/ref=53002507A43FCA1B979A00E0304F01D7931C92C55168EAD35498C8FAEDD681620642DC6C9A8B9A5E5D4991605FB708A46E31875D7CA72E87NCj8I" TargetMode = "External"/>
	<Relationship Id="rId15" Type="http://schemas.openxmlformats.org/officeDocument/2006/relationships/hyperlink" Target="consultantplus://offline/ref=53002507A43FCA1B979A00E0304F01D7931296C05C6FEAD35498C8FAEDD681620642DC6C9A8B9A5F544991605FB708A46E31875D7CA72E87NCj8I" TargetMode = "External"/>
	<Relationship Id="rId16" Type="http://schemas.openxmlformats.org/officeDocument/2006/relationships/hyperlink" Target="consultantplus://offline/ref=53002507A43FCA1B979A00E0304F01D7931194C25268EAD35498C8FAEDD681620642DC6C9A8B9A5E5D4991605FB708A46E31875D7CA72E87NCj8I" TargetMode = "External"/>
	<Relationship Id="rId17" Type="http://schemas.openxmlformats.org/officeDocument/2006/relationships/hyperlink" Target="consultantplus://offline/ref=53002507A43FCA1B979A00E0304F01D7901C92C3526AEAD35498C8FAEDD681620642DC6C9A8B9B5A514991605FB708A46E31875D7CA72E87NCj8I" TargetMode = "External"/>
	<Relationship Id="rId18" Type="http://schemas.openxmlformats.org/officeDocument/2006/relationships/hyperlink" Target="consultantplus://offline/ref=53002507A43FCA1B979A00E0304F01D7931592C55260EAD35498C8FAEDD681620642DC6C9A8B9A5E5D4991605FB708A46E31875D7CA72E87NCj8I" TargetMode = "External"/>
	<Relationship Id="rId19" Type="http://schemas.openxmlformats.org/officeDocument/2006/relationships/hyperlink" Target="consultantplus://offline/ref=53002507A43FCA1B979A00E0304F01D7931297C45C6AEAD35498C8FAEDD681620642DC6C9A8B9A5E5D4991605FB708A46E31875D7CA72E87NCj8I" TargetMode = "External"/>
	<Relationship Id="rId20" Type="http://schemas.openxmlformats.org/officeDocument/2006/relationships/hyperlink" Target="consultantplus://offline/ref=53002507A43FCA1B979A00E0304F01D796179DC0536FEAD35498C8FAEDD68162144284609B8A845E5D5CC73119NEj1I" TargetMode = "External"/>
	<Relationship Id="rId21" Type="http://schemas.openxmlformats.org/officeDocument/2006/relationships/hyperlink" Target="consultantplus://offline/ref=53002507A43FCA1B979A00E0304F01D7911691C6556AEAD35498C8FAEDD68162144284609B8A845E5D5CC73119NEj1I" TargetMode = "External"/>
	<Relationship Id="rId22" Type="http://schemas.openxmlformats.org/officeDocument/2006/relationships/hyperlink" Target="consultantplus://offline/ref=53002507A43FCA1B979A00E0304F01D7931D9CCE5C61EAD35498C8FAEDD681620642DC6C9A8B9A5F554991605FB708A46E31875D7CA72E87NCj8I" TargetMode = "External"/>
	<Relationship Id="rId23" Type="http://schemas.openxmlformats.org/officeDocument/2006/relationships/hyperlink" Target="consultantplus://offline/ref=53002507A43FCA1B979A00E0304F01D7931194C3516AEAD35498C8FAEDD681620642DC6C9A8B9A5F544991605FB708A46E31875D7CA72E87NCj8I" TargetMode = "External"/>
	<Relationship Id="rId24" Type="http://schemas.openxmlformats.org/officeDocument/2006/relationships/hyperlink" Target="consultantplus://offline/ref=53002507A43FCA1B979A00E0304F01D7961797C4556CEAD35498C8FAEDD681620642DC699F82910A0506903C1AE31BA56631855460NAj6I" TargetMode = "External"/>
	<Relationship Id="rId25" Type="http://schemas.openxmlformats.org/officeDocument/2006/relationships/hyperlink" Target="consultantplus://offline/ref=53002507A43FCA1B979A00E0304F01D7961790C15C6DEAD35498C8FAEDD681620642DC6C9A8B9A5D5D4991605FB708A46E31875D7CA72E87NCj8I" TargetMode = "External"/>
	<Relationship Id="rId26" Type="http://schemas.openxmlformats.org/officeDocument/2006/relationships/hyperlink" Target="consultantplus://offline/ref=53002507A43FCA1B979A00E0304F01D7901C92C3526AEAD35498C8FAEDD681620642DC6C9A8B9B5F554991605FB708A46E31875D7CA72E87NCj8I" TargetMode = "External"/>
	<Relationship Id="rId27" Type="http://schemas.openxmlformats.org/officeDocument/2006/relationships/hyperlink" Target="consultantplus://offline/ref=53002507A43FCA1B979A00E0304F01D7931691C2566FEAD35498C8FAEDD681620642DC6C9A8B9A5E5D4991605FB708A46E31875D7CA72E87NCj8I" TargetMode = "External"/>
	<Relationship Id="rId28" Type="http://schemas.openxmlformats.org/officeDocument/2006/relationships/hyperlink" Target="consultantplus://offline/ref=53002507A43FCA1B979A00E0304F01D7961797C4556CEAD35498C8FAEDD681620642DC6A9A89910A0506903C1AE31BA56631855460NAj6I" TargetMode = "External"/>
	<Relationship Id="rId29" Type="http://schemas.openxmlformats.org/officeDocument/2006/relationships/hyperlink" Target="consultantplus://offline/ref=53002507A43FCA1B979A00E0304F01D7901C92C3526AEAD35498C8FAEDD681620642DC6C9A8B9B5D504991605FB708A46E31875D7CA72E87NCj8I" TargetMode = "External"/>
	<Relationship Id="rId30" Type="http://schemas.openxmlformats.org/officeDocument/2006/relationships/hyperlink" Target="consultantplus://offline/ref=53002507A43FCA1B979A00E0304F01D7911691C6556AEAD35498C8FAEDD681620642DC6C9A8B9A5F504991605FB708A46E31875D7CA72E87NCj8I" TargetMode = "External"/>
	<Relationship Id="rId31" Type="http://schemas.openxmlformats.org/officeDocument/2006/relationships/hyperlink" Target="consultantplus://offline/ref=53002507A43FCA1B979A00E0304F01D7911691C6556AEAD35498C8FAEDD681620642DC6C9A8B9A5D554991605FB708A46E31875D7CA72E87NCj8I" TargetMode = "External"/>
	<Relationship Id="rId32" Type="http://schemas.openxmlformats.org/officeDocument/2006/relationships/hyperlink" Target="consultantplus://offline/ref=53002507A43FCA1B979A00E0304F01D7931691C2566FEAD35498C8FAEDD681620642DC6C9A8B9A5E5D4991605FB708A46E31875D7CA72E87NCj8I" TargetMode = "External"/>
	<Relationship Id="rId33" Type="http://schemas.openxmlformats.org/officeDocument/2006/relationships/hyperlink" Target="consultantplus://offline/ref=53002507A43FCA1B979A00E0304F01D7911691C6556AEAD35498C8FAEDD681620642DC6C9A8B9A5D564991605FB708A46E31875D7CA72E87NCj8I" TargetMode = "External"/>
	<Relationship Id="rId34" Type="http://schemas.openxmlformats.org/officeDocument/2006/relationships/hyperlink" Target="consultantplus://offline/ref=53002507A43FCA1B979A00E0304F01D7911691C6556AEAD35498C8FAEDD681620642DC6C9A8B9A5A574991605FB708A46E31875D7CA72E87NCj8I" TargetMode = "External"/>
	<Relationship Id="rId35" Type="http://schemas.openxmlformats.org/officeDocument/2006/relationships/hyperlink" Target="consultantplus://offline/ref=53002507A43FCA1B979A00E0304F01D7931691C2566FEAD35498C8FAEDD681620642DC6C9A8B9A5E5D4991605FB708A46E31875D7CA72E87NCj8I" TargetMode = "External"/>
	<Relationship Id="rId36" Type="http://schemas.openxmlformats.org/officeDocument/2006/relationships/hyperlink" Target="consultantplus://offline/ref=53002507A43FCA1B979A00E0304F01D7931691C2566FEAD35498C8FAEDD681620642DC6C9A8B9A5E5D4991605FB708A46E31875D7CA72E87NCj8I" TargetMode = "External"/>
	<Relationship Id="rId37" Type="http://schemas.openxmlformats.org/officeDocument/2006/relationships/hyperlink" Target="consultantplus://offline/ref=53002507A43FCA1B979A00E0304F01D7931691C2566FEAD35498C8FAEDD68162144284609B8A845E5D5CC73119NEj1I" TargetMode = "External"/>
	<Relationship Id="rId38" Type="http://schemas.openxmlformats.org/officeDocument/2006/relationships/hyperlink" Target="consultantplus://offline/ref=53002507A43FCA1B979A00E0304F01D7931592C55260EAD35498C8FAEDD681620642DC6C9A8B9A5E5D4991605FB708A46E31875D7CA72E87NCj8I" TargetMode = "External"/>
	<Relationship Id="rId39" Type="http://schemas.openxmlformats.org/officeDocument/2006/relationships/hyperlink" Target="consultantplus://offline/ref=53002507A43FCA1B979A00E0304F01D7931296C05C6FEAD35498C8FAEDD681620642DC6C9A8B9A5F544991605FB708A46E31875D7CA72E87NCj8I" TargetMode = "External"/>
	<Relationship Id="rId40" Type="http://schemas.openxmlformats.org/officeDocument/2006/relationships/hyperlink" Target="consultantplus://offline/ref=53002507A43FCA1B979A00E0304F01D7931691C2566FEAD35498C8FAEDD681620642DC6C9A8B9A5E5D4991605FB708A46E31875D7CA72E87NCj8I" TargetMode = "External"/>
	<Relationship Id="rId41" Type="http://schemas.openxmlformats.org/officeDocument/2006/relationships/hyperlink" Target="consultantplus://offline/ref=53002507A43FCA1B979A00E0304F01D7911691C6556AEAD35498C8FAEDD681620642DC6C9A8B9A5D564991605FB708A46E31875D7CA72E87NCj8I" TargetMode = "External"/>
	<Relationship Id="rId42" Type="http://schemas.openxmlformats.org/officeDocument/2006/relationships/hyperlink" Target="consultantplus://offline/ref=53002507A43FCA1B979A00E0304F01D7911691C6556AEAD35498C8FAEDD681620642DC6C9A8B9A5A574991605FB708A46E31875D7CA72E87NCj8I" TargetMode = "External"/>
	<Relationship Id="rId43" Type="http://schemas.openxmlformats.org/officeDocument/2006/relationships/hyperlink" Target="consultantplus://offline/ref=53002507A43FCA1B979A00E0304F01D7911691C6556AEAD35498C8FAEDD681620642DC6C9A8B9A59574991605FB708A46E31875D7CA72E87NCj8I" TargetMode = "External"/>
	<Relationship Id="rId44" Type="http://schemas.openxmlformats.org/officeDocument/2006/relationships/hyperlink" Target="consultantplus://offline/ref=53002507A43FCA1B979A00E0304F01D7911691C6556AEAD35498C8FAEDD681620642DC6C9A8B9A5B534991605FB708A46E31875D7CA72E87NCj8I" TargetMode = "External"/>
	<Relationship Id="rId45" Type="http://schemas.openxmlformats.org/officeDocument/2006/relationships/hyperlink" Target="consultantplus://offline/ref=53002507A43FCA1B979A00E0304F01D7931D9CCE5C61EAD35498C8FAEDD681620642DC6C9A8B9A5D574991605FB708A46E31875D7CA72E87NCj8I" TargetMode = "External"/>
	<Relationship Id="rId46" Type="http://schemas.openxmlformats.org/officeDocument/2006/relationships/hyperlink" Target="consultantplus://offline/ref=53002507A43FCA1B979A00E0304F01D7931691C2566FEAD35498C8FAEDD681620642DC6C9A8B9A5E5D4991605FB708A46E31875D7CA72E87NCj8I" TargetMode = "External"/>
	<Relationship Id="rId47" Type="http://schemas.openxmlformats.org/officeDocument/2006/relationships/hyperlink" Target="consultantplus://offline/ref=53002507A43FCA1B979A00E0304F01D7911691C6556AEAD35498C8FAEDD681620642DC6C9A8B9A58544991605FB708A46E31875D7CA72E87NCj8I" TargetMode = "External"/>
	<Relationship Id="rId48" Type="http://schemas.openxmlformats.org/officeDocument/2006/relationships/hyperlink" Target="consultantplus://offline/ref=53002507A43FCA1B979A00E0304F01D7931691C2566FEAD35498C8FAEDD681620642DC6C9A8B9A5E5D4991605FB708A46E31875D7CA72E87NCj8I" TargetMode = "External"/>
	<Relationship Id="rId49" Type="http://schemas.openxmlformats.org/officeDocument/2006/relationships/image" Target="media/image2.wmf"/>
	<Relationship Id="rId50" Type="http://schemas.openxmlformats.org/officeDocument/2006/relationships/image" Target="media/image3.wmf"/>
	<Relationship Id="rId51" Type="http://schemas.openxmlformats.org/officeDocument/2006/relationships/image" Target="media/image4.wmf"/>
	<Relationship Id="rId52" Type="http://schemas.openxmlformats.org/officeDocument/2006/relationships/hyperlink" Target="consultantplus://offline/ref=53002507A43FCA1B979A00E0304F01D7931691C2566FEAD35498C8FAEDD681620642DC6C9A8B9A5E5D4991605FB708A46E31875D7CA72E87NCj8I" TargetMode = "External"/>
	<Relationship Id="rId53" Type="http://schemas.openxmlformats.org/officeDocument/2006/relationships/image" Target="media/image5.wmf"/>
	<Relationship Id="rId54" Type="http://schemas.openxmlformats.org/officeDocument/2006/relationships/image" Target="media/image6.wmf"/>
	<Relationship Id="rId55" Type="http://schemas.openxmlformats.org/officeDocument/2006/relationships/image" Target="media/image7.wmf"/>
	<Relationship Id="rId56" Type="http://schemas.openxmlformats.org/officeDocument/2006/relationships/hyperlink" Target="consultantplus://offline/ref=53002507A43FCA1B979A00E0304F01D7931691C2566FEAD35498C8FAEDD681620642DC6C9A8B9A5E5D4991605FB708A46E31875D7CA72E87NCj8I" TargetMode = "External"/>
	<Relationship Id="rId57" Type="http://schemas.openxmlformats.org/officeDocument/2006/relationships/hyperlink" Target="consultantplus://offline/ref=53002507A43FCA1B979A00E0304F01D7911691C6556AEAD35498C8FAEDD681620642DC6C9A8B9A5A504991605FB708A46E31875D7CA72E87NCj8I" TargetMode = "External"/>
	<Relationship Id="rId58" Type="http://schemas.openxmlformats.org/officeDocument/2006/relationships/hyperlink" Target="consultantplus://offline/ref=53002507A43FCA1B979A00E0304F01D7931691C2566FEAD35498C8FAEDD681620642DC6C9A8B9A5E5D4991605FB708A46E31875D7CA72E87NCj8I" TargetMode = "External"/>
	<Relationship Id="rId59" Type="http://schemas.openxmlformats.org/officeDocument/2006/relationships/image" Target="media/image8.wmf"/>
	<Relationship Id="rId60" Type="http://schemas.openxmlformats.org/officeDocument/2006/relationships/image" Target="media/image9.wmf"/>
	<Relationship Id="rId61" Type="http://schemas.openxmlformats.org/officeDocument/2006/relationships/hyperlink" Target="consultantplus://offline/ref=53002507A43FCA1B979A00E0304F01D7931691C2566FEAD35498C8FAEDD681620642DC6C9A8B9A5E5D4991605FB708A46E31875D7CA72E87NCj8I" TargetMode = "External"/>
	<Relationship Id="rId62" Type="http://schemas.openxmlformats.org/officeDocument/2006/relationships/image" Target="media/image10.wmf"/>
	<Relationship Id="rId63" Type="http://schemas.openxmlformats.org/officeDocument/2006/relationships/hyperlink" Target="consultantplus://offline/ref=53002507A43FCA1B979A00E0304F01D7931691C2566FEAD35498C8FAEDD681620642DC6C9A8B9A5E5D4991605FB708A46E31875D7CA72E87NCj8I" TargetMode = "External"/>
	<Relationship Id="rId64" Type="http://schemas.openxmlformats.org/officeDocument/2006/relationships/hyperlink" Target="consultantplus://offline/ref=53002507A43FCA1B979A00E0304F01D7961797C4556CEAD35498C8FAEDD681620642DC6A9B89910A0506903C1AE31BA56631855460NAj6I" TargetMode = "External"/>
	<Relationship Id="rId65" Type="http://schemas.openxmlformats.org/officeDocument/2006/relationships/hyperlink" Target="consultantplus://offline/ref=53002507A43FCA1B979A00E0304F01D7931691C2566FEAD35498C8FAEDD681620642DC6C9A8B9A5E5D4991605FB708A46E31875D7CA72E87NCj8I" TargetMode = "External"/>
	<Relationship Id="rId66" Type="http://schemas.openxmlformats.org/officeDocument/2006/relationships/hyperlink" Target="consultantplus://offline/ref=53002507A43FCA1B979A00E0304F01D7931691C2566FEAD35498C8FAEDD681620642DC6C9A8B9A5E5D4991605FB708A46E31875D7CA72E87NCj8I" TargetMode = "External"/>
	<Relationship Id="rId67" Type="http://schemas.openxmlformats.org/officeDocument/2006/relationships/hyperlink" Target="consultantplus://offline/ref=53002507A43FCA1B979A00E0304F01D7931691C2566FEAD35498C8FAEDD681620642DC6C9A8B9A5E5D4991605FB708A46E31875D7CA72E87NCj8I" TargetMode = "External"/>
	<Relationship Id="rId68" Type="http://schemas.openxmlformats.org/officeDocument/2006/relationships/hyperlink" Target="consultantplus://offline/ref=53002507A43FCA1B979A00E0304F01D7931592C55260EAD35498C8FAEDD681620642DC6C9A8B9A5E5D4991605FB708A46E31875D7CA72E87NCj8I" TargetMode = "External"/>
	<Relationship Id="rId69" Type="http://schemas.openxmlformats.org/officeDocument/2006/relationships/hyperlink" Target="consultantplus://offline/ref=53002507A43FCA1B979A00E0304F01D7961797C4556CEAD35498C8FAEDD681620642DC6A9A82910A0506903C1AE31BA56631855460NAj6I" TargetMode = "External"/>
	<Relationship Id="rId70" Type="http://schemas.openxmlformats.org/officeDocument/2006/relationships/hyperlink" Target="consultantplus://offline/ref=53002507A43FCA1B979A00E0304F01D7961196CE5D6CEAD35498C8FAEDD68162144284609B8A845E5D5CC73119NEj1I" TargetMode = "External"/>
	<Relationship Id="rId71" Type="http://schemas.openxmlformats.org/officeDocument/2006/relationships/hyperlink" Target="consultantplus://offline/ref=53002507A43FCA1B979A00E0304F01D793159CCF5369EAD35498C8FAEDD68162144284609B8A845E5D5CC73119NEj1I" TargetMode = "External"/>
	<Relationship Id="rId72" Type="http://schemas.openxmlformats.org/officeDocument/2006/relationships/hyperlink" Target="consultantplus://offline/ref=53002507A43FCA1B979A00E0304F01D7901192C5556FEAD35498C8FAEDD681620642DC6C9A8B9A5D564991605FB708A46E31875D7CA72E87NCj8I" TargetMode = "External"/>
	<Relationship Id="rId73" Type="http://schemas.openxmlformats.org/officeDocument/2006/relationships/hyperlink" Target="consultantplus://offline/ref=53002507A43FCA1B979A00E0304F01D7931592C55260EAD35498C8FAEDD681620642DC6C9A8B9A5E5D4991605FB708A46E31875D7CA72E87NCj8I" TargetMode = "External"/>
	<Relationship Id="rId74" Type="http://schemas.openxmlformats.org/officeDocument/2006/relationships/hyperlink" Target="consultantplus://offline/ref=53002507A43FCA1B979A00E0304F01D7931691C2566FEAD35498C8FAEDD681620642DC6C9A8B9A5E5D4991605FB708A46E31875D7CA72E87NCj8I" TargetMode = "External"/>
	<Relationship Id="rId75" Type="http://schemas.openxmlformats.org/officeDocument/2006/relationships/hyperlink" Target="consultantplus://offline/ref=53002507A43FCA1B979A00E0304F01D7901C92C3526AEAD35498C8FAEDD681620642DC6C9A8B9B5C504991605FB708A46E31875D7CA72E87NCj8I" TargetMode = "External"/>
	<Relationship Id="rId76" Type="http://schemas.openxmlformats.org/officeDocument/2006/relationships/hyperlink" Target="consultantplus://offline/ref=53002507A43FCA1B979A00E0304F01D7931491CF576BEAD35498C8FAEDD681620642DC6891DFCB1A014FC43005E20CBB6D2F85N5j7I" TargetMode = "External"/>
	<Relationship Id="rId77" Type="http://schemas.openxmlformats.org/officeDocument/2006/relationships/hyperlink" Target="consultantplus://offline/ref=53002507A43FCA1B979A00E0304F01D7911390C0576AEAD35498C8FAEDD681620642DC6C9A8B9A5F564991605FB708A46E31875D7CA72E87NCj8I" TargetMode = "External"/>
	<Relationship Id="rId78" Type="http://schemas.openxmlformats.org/officeDocument/2006/relationships/hyperlink" Target="consultantplus://offline/ref=53002507A43FCA1B979A00E0304F01D7931691C2566FEAD35498C8FAEDD681620642DC6C9A8B9A5E5D4991605FB708A46E31875D7CA72E87NCj8I" TargetMode = "External"/>
	<Relationship Id="rId79" Type="http://schemas.openxmlformats.org/officeDocument/2006/relationships/hyperlink" Target="consultantplus://offline/ref=53002507A43FCA1B979A00E0304F01D7911595C7556DEAD35498C8FAEDD681620642DC6C9A8B9A5F544991605FB708A46E31875D7CA72E87NCj8I" TargetMode = "External"/>
	<Relationship Id="rId80" Type="http://schemas.openxmlformats.org/officeDocument/2006/relationships/hyperlink" Target="consultantplus://offline/ref=53002507A43FCA1B979A00E0304F01D7961797C4556CEAD35498C8FAEDD681620642DC6F98899F550013816416E304BB6F26995662A7N2jDI" TargetMode = "External"/>
	<Relationship Id="rId81" Type="http://schemas.openxmlformats.org/officeDocument/2006/relationships/hyperlink" Target="consultantplus://offline/ref=53002507A43FCA1B979A00E0304F01D7911691C6556AEAD35498C8FAEDD681620642DC6C9A8B9B5E564991605FB708A46E31875D7CA72E87NCj8I" TargetMode = "External"/>
	<Relationship Id="rId82" Type="http://schemas.openxmlformats.org/officeDocument/2006/relationships/hyperlink" Target="consultantplus://offline/ref=53002507A43FCA1B979A00E0304F01D7911691C6556AEAD35498C8FAEDD681620642DC6C9A8B9B5E574991605FB708A46E31875D7CA72E87NCj8I" TargetMode = "External"/>
	<Relationship Id="rId83" Type="http://schemas.openxmlformats.org/officeDocument/2006/relationships/hyperlink" Target="consultantplus://offline/ref=53002507A43FCA1B979A00E0304F01D7961793C55C63B7D95CC1C4F8EAD9DE75010BD06D9A8B985B5F1694754EEF04A4712F8E4A60A52CN8j6I" TargetMode = "External"/>
	<Relationship Id="rId84" Type="http://schemas.openxmlformats.org/officeDocument/2006/relationships/header" Target="header2.xml"/>
	<Relationship Id="rId85" Type="http://schemas.openxmlformats.org/officeDocument/2006/relationships/footer" Target="footer2.xml"/>
	<Relationship Id="rId86" Type="http://schemas.openxmlformats.org/officeDocument/2006/relationships/hyperlink" Target="consultantplus://offline/ref=53002507A43FCA1B979A00E0304F01D7931691C2566FEAD35498C8FAEDD681620642DC6C9A8B9A5E5D4991605FB708A46E31875D7CA72E87NCj8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Минобрнауки России от 29.12.2017 N ВП-1992/02
"О методических рекомендациях"
(вместе с "Методическими рекомендациями по формированию системы оплаты труда работников общеобразовательных организаций")</dc:title>
  <dcterms:created xsi:type="dcterms:W3CDTF">2023-09-11T08:35:13Z</dcterms:created>
</cp:coreProperties>
</file>